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 w:hAnsi="仿宋" w:eastAsia="仿宋"/>
          <w:b/>
          <w:bCs/>
          <w:kern w:val="0"/>
          <w:sz w:val="32"/>
          <w:szCs w:val="32"/>
        </w:rPr>
      </w:pPr>
      <w:r>
        <w:rPr>
          <w:rFonts w:hint="eastAsia" w:ascii="仿宋" w:hAnsi="仿宋" w:eastAsia="仿宋"/>
          <w:b/>
          <w:bCs/>
          <w:kern w:val="0"/>
          <w:sz w:val="32"/>
          <w:szCs w:val="32"/>
          <w:lang w:val="en-US" w:eastAsia="zh-CN"/>
        </w:rPr>
        <w:t>艺术</w:t>
      </w:r>
      <w:r>
        <w:rPr>
          <w:rFonts w:ascii="仿宋" w:hAnsi="仿宋" w:eastAsia="仿宋"/>
          <w:b/>
          <w:bCs/>
          <w:kern w:val="0"/>
          <w:sz w:val="32"/>
          <w:szCs w:val="32"/>
        </w:rPr>
        <w:t>硕士专业学位培养单位</w:t>
      </w:r>
      <w:r>
        <w:rPr>
          <w:rFonts w:hint="eastAsia" w:ascii="仿宋" w:hAnsi="仿宋" w:eastAsia="仿宋"/>
          <w:b/>
          <w:bCs/>
          <w:kern w:val="0"/>
          <w:sz w:val="32"/>
          <w:szCs w:val="32"/>
          <w:lang w:val="en-US" w:eastAsia="zh-CN"/>
        </w:rPr>
        <w:t>专项</w:t>
      </w:r>
      <w:r>
        <w:rPr>
          <w:rFonts w:ascii="仿宋" w:hAnsi="仿宋" w:eastAsia="仿宋"/>
          <w:b/>
          <w:bCs/>
          <w:kern w:val="0"/>
          <w:sz w:val="32"/>
          <w:szCs w:val="32"/>
        </w:rPr>
        <w:t>评估指标</w:t>
      </w:r>
      <w:r>
        <w:rPr>
          <w:rFonts w:hint="eastAsia" w:ascii="仿宋" w:hAnsi="仿宋" w:eastAsia="仿宋"/>
          <w:b/>
          <w:bCs/>
          <w:kern w:val="0"/>
          <w:sz w:val="32"/>
          <w:szCs w:val="32"/>
          <w:lang w:val="en-US" w:eastAsia="zh-CN"/>
        </w:rPr>
        <w:t>体系</w:t>
      </w:r>
    </w:p>
    <w:tbl>
      <w:tblPr>
        <w:tblStyle w:val="4"/>
        <w:tblW w:w="14125" w:type="dxa"/>
        <w:tblInd w:w="0" w:type="dxa"/>
        <w:tblLayout w:type="fixed"/>
        <w:tblCellMar>
          <w:top w:w="0" w:type="dxa"/>
          <w:left w:w="108" w:type="dxa"/>
          <w:bottom w:w="0" w:type="dxa"/>
          <w:right w:w="108" w:type="dxa"/>
        </w:tblCellMar>
      </w:tblPr>
      <w:tblGrid>
        <w:gridCol w:w="1126"/>
        <w:gridCol w:w="1401"/>
        <w:gridCol w:w="1410"/>
        <w:gridCol w:w="4080"/>
        <w:gridCol w:w="3540"/>
        <w:gridCol w:w="2568"/>
      </w:tblGrid>
      <w:tr>
        <w:tblPrEx>
          <w:tblLayout w:type="fixed"/>
          <w:tblCellMar>
            <w:top w:w="0" w:type="dxa"/>
            <w:left w:w="108" w:type="dxa"/>
            <w:bottom w:w="0" w:type="dxa"/>
            <w:right w:w="108" w:type="dxa"/>
          </w:tblCellMar>
        </w:tblPrEx>
        <w:trPr>
          <w:trHeight w:val="459" w:hRule="atLeast"/>
        </w:trPr>
        <w:tc>
          <w:tcPr>
            <w:tcW w:w="112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 w:hAnsi="仿宋" w:eastAsia="仿宋"/>
                <w:b/>
                <w:bCs/>
                <w:kern w:val="0"/>
                <w:szCs w:val="21"/>
              </w:rPr>
            </w:pPr>
            <w:r>
              <w:rPr>
                <w:rFonts w:ascii="仿宋" w:hAnsi="仿宋" w:eastAsia="仿宋"/>
                <w:b/>
                <w:bCs/>
                <w:kern w:val="0"/>
                <w:szCs w:val="21"/>
              </w:rPr>
              <w:t>一级指标</w:t>
            </w:r>
          </w:p>
        </w:tc>
        <w:tc>
          <w:tcPr>
            <w:tcW w:w="1401" w:type="dxa"/>
            <w:tcBorders>
              <w:top w:val="single" w:color="000000" w:sz="4" w:space="0"/>
              <w:left w:val="nil"/>
              <w:bottom w:val="single" w:color="000000" w:sz="4" w:space="0"/>
              <w:right w:val="single" w:color="000000" w:sz="4" w:space="0"/>
            </w:tcBorders>
            <w:vAlign w:val="center"/>
          </w:tcPr>
          <w:p>
            <w:pPr>
              <w:widowControl/>
              <w:jc w:val="center"/>
              <w:rPr>
                <w:rFonts w:ascii="仿宋" w:hAnsi="仿宋" w:eastAsia="仿宋"/>
                <w:b/>
                <w:bCs/>
                <w:kern w:val="0"/>
                <w:szCs w:val="21"/>
              </w:rPr>
            </w:pPr>
            <w:r>
              <w:rPr>
                <w:rFonts w:ascii="仿宋" w:hAnsi="仿宋" w:eastAsia="仿宋"/>
                <w:b/>
                <w:bCs/>
                <w:kern w:val="0"/>
                <w:szCs w:val="21"/>
              </w:rPr>
              <w:t>二级指标</w:t>
            </w:r>
          </w:p>
        </w:tc>
        <w:tc>
          <w:tcPr>
            <w:tcW w:w="1410" w:type="dxa"/>
            <w:tcBorders>
              <w:top w:val="single" w:color="000000" w:sz="4" w:space="0"/>
              <w:left w:val="nil"/>
              <w:bottom w:val="single" w:color="000000" w:sz="4" w:space="0"/>
              <w:right w:val="single" w:color="000000" w:sz="4" w:space="0"/>
            </w:tcBorders>
            <w:vAlign w:val="center"/>
          </w:tcPr>
          <w:p>
            <w:pPr>
              <w:widowControl/>
              <w:jc w:val="center"/>
              <w:rPr>
                <w:rFonts w:hint="eastAsia" w:ascii="仿宋" w:hAnsi="仿宋" w:eastAsia="仿宋"/>
                <w:b/>
                <w:bCs/>
                <w:kern w:val="0"/>
                <w:szCs w:val="21"/>
                <w:lang w:eastAsia="zh-CN"/>
              </w:rPr>
            </w:pPr>
            <w:r>
              <w:rPr>
                <w:rFonts w:hint="eastAsia" w:ascii="仿宋" w:hAnsi="仿宋" w:eastAsia="仿宋"/>
                <w:b/>
                <w:bCs/>
                <w:kern w:val="0"/>
                <w:szCs w:val="21"/>
                <w:lang w:val="en-US" w:eastAsia="zh-CN"/>
              </w:rPr>
              <w:t>三级指标</w:t>
            </w:r>
          </w:p>
        </w:tc>
        <w:tc>
          <w:tcPr>
            <w:tcW w:w="4080" w:type="dxa"/>
            <w:tcBorders>
              <w:top w:val="single" w:color="000000" w:sz="4" w:space="0"/>
              <w:left w:val="nil"/>
              <w:bottom w:val="single" w:color="000000" w:sz="4" w:space="0"/>
              <w:right w:val="single" w:color="000000" w:sz="4" w:space="0"/>
            </w:tcBorders>
            <w:vAlign w:val="center"/>
          </w:tcPr>
          <w:p>
            <w:pPr>
              <w:widowControl/>
              <w:jc w:val="center"/>
              <w:rPr>
                <w:rFonts w:ascii="仿宋" w:hAnsi="仿宋" w:eastAsia="仿宋"/>
                <w:b/>
                <w:bCs/>
                <w:kern w:val="0"/>
                <w:szCs w:val="21"/>
              </w:rPr>
            </w:pPr>
            <w:r>
              <w:rPr>
                <w:rFonts w:ascii="仿宋" w:hAnsi="仿宋" w:eastAsia="仿宋"/>
                <w:b/>
                <w:bCs/>
                <w:kern w:val="0"/>
                <w:szCs w:val="21"/>
              </w:rPr>
              <w:t>合格</w:t>
            </w:r>
          </w:p>
        </w:tc>
        <w:tc>
          <w:tcPr>
            <w:tcW w:w="3540" w:type="dxa"/>
            <w:tcBorders>
              <w:top w:val="single" w:color="000000" w:sz="4" w:space="0"/>
              <w:left w:val="nil"/>
              <w:bottom w:val="single" w:color="000000" w:sz="4" w:space="0"/>
              <w:right w:val="single" w:color="000000" w:sz="4" w:space="0"/>
            </w:tcBorders>
            <w:vAlign w:val="center"/>
          </w:tcPr>
          <w:p>
            <w:pPr>
              <w:widowControl/>
              <w:jc w:val="center"/>
              <w:rPr>
                <w:rFonts w:hint="eastAsia" w:ascii="仿宋" w:hAnsi="仿宋" w:eastAsia="仿宋"/>
                <w:b/>
                <w:bCs/>
                <w:kern w:val="0"/>
                <w:szCs w:val="21"/>
                <w:lang w:val="en-US" w:eastAsia="zh-CN"/>
              </w:rPr>
            </w:pPr>
            <w:r>
              <w:rPr>
                <w:rFonts w:hint="eastAsia" w:ascii="仿宋" w:hAnsi="仿宋" w:eastAsia="仿宋"/>
                <w:b/>
                <w:bCs/>
                <w:kern w:val="0"/>
                <w:szCs w:val="21"/>
                <w:lang w:val="en-US" w:eastAsia="zh-CN"/>
              </w:rPr>
              <w:t>不合格</w:t>
            </w:r>
          </w:p>
        </w:tc>
        <w:tc>
          <w:tcPr>
            <w:tcW w:w="2568" w:type="dxa"/>
            <w:tcBorders>
              <w:top w:val="single" w:color="000000" w:sz="4" w:space="0"/>
              <w:left w:val="nil"/>
              <w:bottom w:val="single" w:color="000000" w:sz="4" w:space="0"/>
              <w:right w:val="single" w:color="000000" w:sz="4" w:space="0"/>
            </w:tcBorders>
            <w:vAlign w:val="center"/>
          </w:tcPr>
          <w:p>
            <w:pPr>
              <w:widowControl/>
              <w:jc w:val="center"/>
              <w:rPr>
                <w:rFonts w:hint="eastAsia" w:ascii="仿宋" w:hAnsi="仿宋" w:eastAsia="仿宋"/>
                <w:b/>
                <w:bCs/>
                <w:kern w:val="0"/>
                <w:szCs w:val="21"/>
                <w:lang w:eastAsia="zh-CN"/>
              </w:rPr>
            </w:pPr>
            <w:r>
              <w:rPr>
                <w:rFonts w:hint="eastAsia" w:ascii="仿宋" w:hAnsi="仿宋" w:eastAsia="仿宋"/>
                <w:b/>
                <w:bCs/>
                <w:kern w:val="0"/>
                <w:szCs w:val="21"/>
                <w:lang w:val="en-US" w:eastAsia="zh-CN"/>
              </w:rPr>
              <w:t>考评方式</w:t>
            </w:r>
          </w:p>
        </w:tc>
      </w:tr>
      <w:tr>
        <w:tblPrEx>
          <w:tblLayout w:type="fixed"/>
          <w:tblCellMar>
            <w:top w:w="0" w:type="dxa"/>
            <w:left w:w="108" w:type="dxa"/>
            <w:bottom w:w="0" w:type="dxa"/>
            <w:right w:w="108" w:type="dxa"/>
          </w:tblCellMar>
        </w:tblPrEx>
        <w:trPr>
          <w:trHeight w:val="761" w:hRule="atLeast"/>
        </w:trPr>
        <w:tc>
          <w:tcPr>
            <w:tcW w:w="1126" w:type="dxa"/>
            <w:vMerge w:val="restart"/>
            <w:tcBorders>
              <w:top w:val="nil"/>
              <w:left w:val="single" w:color="000000" w:sz="4" w:space="0"/>
              <w:bottom w:val="single" w:color="000000" w:sz="4" w:space="0"/>
              <w:right w:val="single" w:color="000000" w:sz="4" w:space="0"/>
            </w:tcBorders>
            <w:vAlign w:val="center"/>
          </w:tcPr>
          <w:p>
            <w:pPr>
              <w:widowControl/>
              <w:rPr>
                <w:rFonts w:hint="eastAsia" w:ascii="仿宋" w:hAnsi="仿宋" w:eastAsia="仿宋"/>
                <w:b/>
                <w:bCs/>
                <w:kern w:val="0"/>
                <w:szCs w:val="21"/>
                <w:lang w:eastAsia="zh-CN"/>
              </w:rPr>
            </w:pPr>
            <w:r>
              <w:rPr>
                <w:rFonts w:hint="eastAsia" w:ascii="仿宋" w:hAnsi="仿宋" w:eastAsia="仿宋"/>
                <w:b/>
                <w:bCs/>
                <w:kern w:val="0"/>
                <w:szCs w:val="21"/>
                <w:lang w:val="en-US" w:eastAsia="zh-CN"/>
              </w:rPr>
              <w:t>A1师资队伍</w:t>
            </w:r>
          </w:p>
        </w:tc>
        <w:tc>
          <w:tcPr>
            <w:tcW w:w="1401" w:type="dxa"/>
            <w:vMerge w:val="restart"/>
            <w:tcBorders>
              <w:top w:val="single" w:color="000000" w:sz="4" w:space="0"/>
              <w:left w:val="nil"/>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B1师资队伍</w:t>
            </w: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C1师资情况</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有稳定的教师队伍，学校在编的艺术硕士专业导师数量占导师总数2/3及以上。</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没有稳定的教师队伍，学校在编的艺术硕士专业导师数量不到导师总数的2/3。</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学校提供的在编和兼职</w:t>
            </w:r>
            <w:r>
              <w:rPr>
                <w:rFonts w:hint="eastAsia" w:ascii="仿宋" w:hAnsi="仿宋" w:eastAsia="仿宋"/>
                <w:kern w:val="0"/>
                <w:szCs w:val="21"/>
                <w:lang w:val="en-US" w:eastAsia="zh-CN"/>
              </w:rPr>
              <w:t>(</w:t>
            </w:r>
            <w:r>
              <w:rPr>
                <w:rFonts w:hint="eastAsia" w:ascii="仿宋" w:hAnsi="仿宋" w:eastAsia="仿宋"/>
                <w:kern w:val="0"/>
                <w:szCs w:val="21"/>
              </w:rPr>
              <w:t>非在编</w:t>
            </w:r>
            <w:r>
              <w:rPr>
                <w:rFonts w:hint="eastAsia" w:ascii="仿宋" w:hAnsi="仿宋" w:eastAsia="仿宋"/>
                <w:kern w:val="0"/>
                <w:szCs w:val="21"/>
                <w:lang w:val="en-US" w:eastAsia="zh-CN"/>
              </w:rPr>
              <w:t>)</w:t>
            </w:r>
            <w:r>
              <w:rPr>
                <w:rFonts w:hint="eastAsia" w:ascii="仿宋" w:hAnsi="仿宋" w:eastAsia="仿宋"/>
                <w:kern w:val="0"/>
                <w:szCs w:val="21"/>
              </w:rPr>
              <w:t>专业导师简况表及</w:t>
            </w:r>
            <w:r>
              <w:rPr>
                <w:rFonts w:hint="eastAsia" w:ascii="仿宋" w:hAnsi="仿宋" w:eastAsia="仿宋"/>
                <w:kern w:val="0"/>
                <w:szCs w:val="21"/>
                <w:lang w:val="en-US" w:eastAsia="zh-CN"/>
              </w:rPr>
              <w:t>考察</w:t>
            </w:r>
            <w:r>
              <w:rPr>
                <w:rFonts w:hint="eastAsia" w:ascii="仿宋" w:hAnsi="仿宋" w:eastAsia="仿宋"/>
                <w:kern w:val="0"/>
                <w:szCs w:val="21"/>
              </w:rPr>
              <w:t>分析情况。</w:t>
            </w:r>
          </w:p>
        </w:tc>
      </w:tr>
      <w:tr>
        <w:tblPrEx>
          <w:tblLayout w:type="fixed"/>
          <w:tblCellMar>
            <w:top w:w="0" w:type="dxa"/>
            <w:left w:w="108" w:type="dxa"/>
            <w:bottom w:w="0" w:type="dxa"/>
            <w:right w:w="108" w:type="dxa"/>
          </w:tblCellMar>
        </w:tblPrEx>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left w:val="nil"/>
              <w:right w:val="single" w:color="000000" w:sz="4" w:space="0"/>
            </w:tcBorders>
            <w:vAlign w:val="center"/>
          </w:tcPr>
          <w:p>
            <w:pPr>
              <w:widowControl/>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b/>
                <w:bCs/>
                <w:kern w:val="0"/>
                <w:szCs w:val="21"/>
                <w:lang w:val="en-US" w:eastAsia="zh-CN"/>
              </w:rPr>
              <w:t>C2专业方向指导教师</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每个专业方向具有不少于三名高级职称的导师，且导师须具有所知指导专业的教育背景和实践经验</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有</w:t>
            </w:r>
            <w:r>
              <w:rPr>
                <w:rFonts w:hint="eastAsia" w:ascii="仿宋" w:hAnsi="仿宋" w:eastAsia="仿宋"/>
                <w:kern w:val="0"/>
                <w:szCs w:val="21"/>
              </w:rPr>
              <w:t>专业方向少于三名高级职称的导师，</w:t>
            </w:r>
            <w:r>
              <w:rPr>
                <w:rFonts w:hint="eastAsia" w:ascii="仿宋" w:hAnsi="仿宋" w:eastAsia="仿宋"/>
                <w:kern w:val="0"/>
                <w:szCs w:val="21"/>
                <w:lang w:val="en-US" w:eastAsia="zh-CN"/>
              </w:rPr>
              <w:t>或</w:t>
            </w:r>
            <w:r>
              <w:rPr>
                <w:rFonts w:hint="eastAsia" w:ascii="仿宋" w:hAnsi="仿宋" w:eastAsia="仿宋"/>
                <w:kern w:val="0"/>
                <w:szCs w:val="21"/>
              </w:rPr>
              <w:t>导师须</w:t>
            </w:r>
            <w:r>
              <w:rPr>
                <w:rFonts w:hint="eastAsia" w:ascii="仿宋" w:hAnsi="仿宋" w:eastAsia="仿宋"/>
                <w:kern w:val="0"/>
                <w:szCs w:val="21"/>
                <w:lang w:val="en-US" w:eastAsia="zh-CN"/>
              </w:rPr>
              <w:t>不具备</w:t>
            </w:r>
            <w:r>
              <w:rPr>
                <w:rFonts w:hint="eastAsia" w:ascii="仿宋" w:hAnsi="仿宋" w:eastAsia="仿宋"/>
                <w:kern w:val="0"/>
                <w:szCs w:val="21"/>
              </w:rPr>
              <w:t>所知指导专业的教育背景和实践经验</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学校提供的专业导师简况表及考察分析情况</w:t>
            </w:r>
          </w:p>
        </w:tc>
      </w:tr>
      <w:tr>
        <w:tblPrEx>
          <w:tblLayout w:type="fixed"/>
          <w:tblCellMar>
            <w:top w:w="0" w:type="dxa"/>
            <w:left w:w="108" w:type="dxa"/>
            <w:bottom w:w="0" w:type="dxa"/>
            <w:right w:w="108" w:type="dxa"/>
          </w:tblCellMar>
        </w:tblPrEx>
        <w:trPr>
          <w:trHeight w:val="740"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C3师生比</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一名专业导师指导在校艺术硕士总量不超过十名</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一名专业导师，指导在校艺术硕士总量超过十名</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学校提供的历届学生简况表及考察分析情况</w:t>
            </w:r>
          </w:p>
        </w:tc>
      </w:tr>
      <w:tr>
        <w:tblPrEx>
          <w:tblLayout w:type="fixed"/>
          <w:tblCellMar>
            <w:top w:w="0" w:type="dxa"/>
            <w:left w:w="108" w:type="dxa"/>
            <w:bottom w:w="0" w:type="dxa"/>
            <w:right w:w="108" w:type="dxa"/>
          </w:tblCellMar>
        </w:tblPrEx>
        <w:trPr>
          <w:trHeight w:val="900" w:hRule="atLeast"/>
        </w:trPr>
        <w:tc>
          <w:tcPr>
            <w:tcW w:w="1126" w:type="dxa"/>
            <w:vMerge w:val="restart"/>
            <w:tcBorders>
              <w:top w:val="nil"/>
              <w:left w:val="single" w:color="000000" w:sz="4" w:space="0"/>
              <w:bottom w:val="single" w:color="000000" w:sz="4" w:space="0"/>
              <w:right w:val="single" w:color="000000" w:sz="4" w:space="0"/>
            </w:tcBorders>
            <w:vAlign w:val="center"/>
          </w:tcPr>
          <w:p>
            <w:pPr>
              <w:widowControl/>
              <w:rPr>
                <w:rFonts w:hint="eastAsia" w:ascii="仿宋" w:hAnsi="仿宋" w:eastAsia="仿宋"/>
                <w:b/>
                <w:bCs/>
                <w:kern w:val="0"/>
                <w:szCs w:val="21"/>
                <w:lang w:eastAsia="zh-CN"/>
              </w:rPr>
            </w:pPr>
            <w:r>
              <w:rPr>
                <w:rFonts w:hint="eastAsia" w:ascii="仿宋" w:hAnsi="仿宋" w:eastAsia="仿宋"/>
                <w:b/>
                <w:bCs/>
                <w:kern w:val="0"/>
                <w:szCs w:val="21"/>
                <w:lang w:val="en-US" w:eastAsia="zh-CN"/>
              </w:rPr>
              <w:t>A2人才培养</w:t>
            </w:r>
          </w:p>
        </w:tc>
        <w:tc>
          <w:tcPr>
            <w:tcW w:w="1401" w:type="dxa"/>
            <w:tcBorders>
              <w:top w:val="nil"/>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B2培养资源</w:t>
            </w: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b/>
                <w:bCs/>
                <w:kern w:val="0"/>
                <w:szCs w:val="21"/>
                <w:lang w:val="en-US" w:eastAsia="zh-CN"/>
              </w:rPr>
              <w:t>C4教学设备、专业教室、时间展示场地</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有必备的教学设施</w:t>
            </w:r>
            <w:r>
              <w:rPr>
                <w:rFonts w:hint="eastAsia" w:ascii="仿宋" w:hAnsi="仿宋" w:eastAsia="仿宋"/>
                <w:kern w:val="0"/>
                <w:szCs w:val="21"/>
                <w:lang w:eastAsia="zh-CN"/>
              </w:rPr>
              <w:t>、</w:t>
            </w:r>
            <w:r>
              <w:rPr>
                <w:rFonts w:hint="eastAsia" w:ascii="仿宋" w:hAnsi="仿宋" w:eastAsia="仿宋"/>
                <w:kern w:val="0"/>
                <w:szCs w:val="21"/>
              </w:rPr>
              <w:t>专业</w:t>
            </w:r>
            <w:r>
              <w:rPr>
                <w:rFonts w:hint="eastAsia" w:ascii="仿宋" w:hAnsi="仿宋" w:eastAsia="仿宋"/>
                <w:kern w:val="0"/>
                <w:szCs w:val="21"/>
                <w:lang w:val="en-US" w:eastAsia="zh-CN"/>
              </w:rPr>
              <w:t>教室</w:t>
            </w:r>
            <w:r>
              <w:rPr>
                <w:rFonts w:hint="eastAsia" w:ascii="仿宋" w:hAnsi="仿宋" w:eastAsia="仿宋"/>
                <w:kern w:val="0"/>
                <w:szCs w:val="21"/>
                <w:lang w:eastAsia="zh-CN"/>
              </w:rPr>
              <w:t>、</w:t>
            </w:r>
            <w:r>
              <w:rPr>
                <w:rFonts w:hint="eastAsia" w:ascii="仿宋" w:hAnsi="仿宋" w:eastAsia="仿宋"/>
                <w:kern w:val="0"/>
                <w:szCs w:val="21"/>
              </w:rPr>
              <w:t>实践展示场地，并能够满足教学需要。</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没</w:t>
            </w:r>
            <w:r>
              <w:rPr>
                <w:rFonts w:hint="eastAsia" w:ascii="仿宋" w:hAnsi="仿宋" w:eastAsia="仿宋"/>
                <w:kern w:val="0"/>
                <w:szCs w:val="21"/>
              </w:rPr>
              <w:t>有必备的教学设施</w:t>
            </w:r>
            <w:r>
              <w:rPr>
                <w:rFonts w:hint="eastAsia" w:ascii="仿宋" w:hAnsi="仿宋" w:eastAsia="仿宋"/>
                <w:kern w:val="0"/>
                <w:szCs w:val="21"/>
                <w:lang w:eastAsia="zh-CN"/>
              </w:rPr>
              <w:t>、</w:t>
            </w:r>
            <w:r>
              <w:rPr>
                <w:rFonts w:hint="eastAsia" w:ascii="仿宋" w:hAnsi="仿宋" w:eastAsia="仿宋"/>
                <w:kern w:val="0"/>
                <w:szCs w:val="21"/>
              </w:rPr>
              <w:t>专业</w:t>
            </w:r>
            <w:r>
              <w:rPr>
                <w:rFonts w:hint="eastAsia" w:ascii="仿宋" w:hAnsi="仿宋" w:eastAsia="仿宋"/>
                <w:kern w:val="0"/>
                <w:szCs w:val="21"/>
                <w:lang w:val="en-US" w:eastAsia="zh-CN"/>
              </w:rPr>
              <w:t>教室、</w:t>
            </w:r>
            <w:r>
              <w:rPr>
                <w:rFonts w:hint="eastAsia" w:ascii="仿宋" w:hAnsi="仿宋" w:eastAsia="仿宋"/>
                <w:kern w:val="0"/>
                <w:szCs w:val="21"/>
              </w:rPr>
              <w:t>实践展示场地，</w:t>
            </w:r>
            <w:r>
              <w:rPr>
                <w:rFonts w:hint="eastAsia" w:ascii="仿宋" w:hAnsi="仿宋" w:eastAsia="仿宋"/>
                <w:kern w:val="0"/>
                <w:szCs w:val="21"/>
                <w:lang w:val="en-US" w:eastAsia="zh-CN"/>
              </w:rPr>
              <w:t>或不</w:t>
            </w:r>
            <w:r>
              <w:rPr>
                <w:rFonts w:hint="eastAsia" w:ascii="仿宋" w:hAnsi="仿宋" w:eastAsia="仿宋"/>
                <w:kern w:val="0"/>
                <w:szCs w:val="21"/>
              </w:rPr>
              <w:t>能够满足教学需要。</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学校提供的教学设施</w:t>
            </w:r>
            <w:r>
              <w:rPr>
                <w:rFonts w:hint="eastAsia" w:ascii="仿宋" w:hAnsi="仿宋" w:eastAsia="仿宋"/>
                <w:kern w:val="0"/>
                <w:szCs w:val="21"/>
                <w:lang w:eastAsia="zh-CN"/>
              </w:rPr>
              <w:t>、</w:t>
            </w:r>
            <w:r>
              <w:rPr>
                <w:rFonts w:hint="eastAsia" w:ascii="仿宋" w:hAnsi="仿宋" w:eastAsia="仿宋"/>
                <w:kern w:val="0"/>
                <w:szCs w:val="21"/>
              </w:rPr>
              <w:t>场地简况表及考察分析情况</w:t>
            </w:r>
          </w:p>
        </w:tc>
      </w:tr>
      <w:tr>
        <w:tblPrEx>
          <w:tblLayout w:type="fixed"/>
          <w:tblCellMar>
            <w:top w:w="0" w:type="dxa"/>
            <w:left w:w="108" w:type="dxa"/>
            <w:bottom w:w="0" w:type="dxa"/>
            <w:right w:w="108" w:type="dxa"/>
          </w:tblCellMar>
        </w:tblPrEx>
        <w:trPr>
          <w:trHeight w:val="1095" w:hRule="atLeast"/>
        </w:trPr>
        <w:tc>
          <w:tcPr>
            <w:tcW w:w="1126" w:type="dxa"/>
            <w:vMerge w:val="continue"/>
            <w:tcBorders>
              <w:left w:val="single" w:color="000000" w:sz="4" w:space="0"/>
              <w:right w:val="single" w:color="000000" w:sz="4" w:space="0"/>
            </w:tcBorders>
            <w:vAlign w:val="center"/>
          </w:tcPr>
          <w:p>
            <w:pPr>
              <w:widowControl/>
              <w:rPr>
                <w:rFonts w:hint="eastAsia" w:ascii="仿宋" w:hAnsi="仿宋" w:eastAsia="仿宋"/>
                <w:b/>
                <w:bCs/>
                <w:kern w:val="0"/>
                <w:szCs w:val="21"/>
                <w:lang w:val="en-US" w:eastAsia="zh-CN"/>
              </w:rPr>
            </w:pPr>
          </w:p>
        </w:tc>
        <w:tc>
          <w:tcPr>
            <w:tcW w:w="1401" w:type="dxa"/>
            <w:tcBorders>
              <w:top w:val="nil"/>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B3培养经费</w:t>
            </w: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C5培养经费</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具有艺术硕士教学</w:t>
            </w:r>
            <w:r>
              <w:rPr>
                <w:rFonts w:hint="eastAsia" w:ascii="仿宋" w:hAnsi="仿宋" w:eastAsia="仿宋"/>
                <w:kern w:val="0"/>
                <w:szCs w:val="21"/>
                <w:lang w:eastAsia="zh-CN"/>
              </w:rPr>
              <w:t>、</w:t>
            </w:r>
            <w:r>
              <w:rPr>
                <w:rFonts w:hint="eastAsia" w:ascii="仿宋" w:hAnsi="仿宋" w:eastAsia="仿宋"/>
                <w:kern w:val="0"/>
                <w:szCs w:val="21"/>
              </w:rPr>
              <w:t>创作实践等专项经费，不低于国家现行规定的研究生培养经费标准，能够满足培养需要</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艺术硕士教学</w:t>
            </w:r>
            <w:r>
              <w:rPr>
                <w:rFonts w:hint="eastAsia" w:ascii="仿宋" w:hAnsi="仿宋" w:eastAsia="仿宋"/>
                <w:kern w:val="0"/>
                <w:szCs w:val="21"/>
                <w:lang w:eastAsia="zh-CN"/>
              </w:rPr>
              <w:t>、</w:t>
            </w:r>
            <w:r>
              <w:rPr>
                <w:rFonts w:hint="eastAsia" w:ascii="仿宋" w:hAnsi="仿宋" w:eastAsia="仿宋"/>
                <w:kern w:val="0"/>
                <w:szCs w:val="21"/>
              </w:rPr>
              <w:t>创作实践等专项经费低于国家现行规定的研究生培养经费标准，</w:t>
            </w:r>
            <w:r>
              <w:rPr>
                <w:rFonts w:hint="eastAsia" w:ascii="仿宋" w:hAnsi="仿宋" w:eastAsia="仿宋"/>
                <w:kern w:val="0"/>
                <w:szCs w:val="21"/>
                <w:lang w:val="en-US" w:eastAsia="zh-CN"/>
              </w:rPr>
              <w:t>不</w:t>
            </w:r>
            <w:r>
              <w:rPr>
                <w:rFonts w:hint="eastAsia" w:ascii="仿宋" w:hAnsi="仿宋" w:eastAsia="仿宋"/>
                <w:kern w:val="0"/>
                <w:szCs w:val="21"/>
              </w:rPr>
              <w:t>能够满足培养需要。</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学校提供的艺术硕士培养经费情况，考察分析情况</w:t>
            </w:r>
          </w:p>
        </w:tc>
      </w:tr>
      <w:tr>
        <w:tblPrEx>
          <w:tblLayout w:type="fixed"/>
          <w:tblCellMar>
            <w:top w:w="0" w:type="dxa"/>
            <w:left w:w="108" w:type="dxa"/>
            <w:bottom w:w="0" w:type="dxa"/>
            <w:right w:w="108" w:type="dxa"/>
          </w:tblCellMar>
        </w:tblPrEx>
        <w:trPr>
          <w:trHeight w:val="1095" w:hRule="atLeast"/>
        </w:trPr>
        <w:tc>
          <w:tcPr>
            <w:tcW w:w="1126" w:type="dxa"/>
            <w:vMerge w:val="continue"/>
            <w:tcBorders>
              <w:left w:val="single" w:color="000000" w:sz="4" w:space="0"/>
              <w:right w:val="single" w:color="000000" w:sz="4" w:space="0"/>
            </w:tcBorders>
            <w:vAlign w:val="center"/>
          </w:tcPr>
          <w:p>
            <w:pPr>
              <w:widowControl/>
              <w:rPr>
                <w:rFonts w:hint="eastAsia" w:ascii="仿宋" w:hAnsi="仿宋" w:eastAsia="仿宋"/>
                <w:b/>
                <w:bCs/>
                <w:kern w:val="0"/>
                <w:szCs w:val="21"/>
                <w:lang w:val="en-US" w:eastAsia="zh-CN"/>
              </w:rPr>
            </w:pPr>
          </w:p>
        </w:tc>
        <w:tc>
          <w:tcPr>
            <w:tcW w:w="1401" w:type="dxa"/>
            <w:tcBorders>
              <w:top w:val="nil"/>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B4招生选拔</w:t>
            </w: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b/>
                <w:bCs/>
                <w:kern w:val="0"/>
                <w:szCs w:val="21"/>
                <w:lang w:val="en-US" w:eastAsia="zh-CN"/>
              </w:rPr>
              <w:t>C6招生录取质量</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坚持专业标准，以考核学生的整体素质及专业能力和专业基础作为主要招生选材标准</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未</w:t>
            </w:r>
            <w:r>
              <w:rPr>
                <w:rFonts w:hint="eastAsia" w:ascii="仿宋" w:hAnsi="仿宋" w:eastAsia="仿宋"/>
                <w:kern w:val="0"/>
                <w:szCs w:val="21"/>
              </w:rPr>
              <w:t>坚持专业标准，</w:t>
            </w:r>
            <w:r>
              <w:rPr>
                <w:rFonts w:hint="eastAsia" w:ascii="仿宋" w:hAnsi="仿宋" w:eastAsia="仿宋"/>
                <w:kern w:val="0"/>
                <w:szCs w:val="21"/>
                <w:lang w:val="en-US" w:eastAsia="zh-CN"/>
              </w:rPr>
              <w:t>没有</w:t>
            </w:r>
            <w:r>
              <w:rPr>
                <w:rFonts w:hint="eastAsia" w:ascii="仿宋" w:hAnsi="仿宋" w:eastAsia="仿宋"/>
                <w:kern w:val="0"/>
                <w:szCs w:val="21"/>
              </w:rPr>
              <w:t>以考核学生的整体素质及专业能力和专业基础作为主要招生选材标准</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学校提供的初试</w:t>
            </w:r>
            <w:r>
              <w:rPr>
                <w:rFonts w:hint="eastAsia" w:ascii="仿宋" w:hAnsi="仿宋" w:eastAsia="仿宋"/>
                <w:kern w:val="0"/>
                <w:szCs w:val="21"/>
                <w:lang w:eastAsia="zh-CN"/>
              </w:rPr>
              <w:t>、</w:t>
            </w:r>
            <w:r>
              <w:rPr>
                <w:rFonts w:hint="eastAsia" w:ascii="仿宋" w:hAnsi="仿宋" w:eastAsia="仿宋"/>
                <w:kern w:val="0"/>
                <w:szCs w:val="21"/>
              </w:rPr>
              <w:t>复试专业成绩</w:t>
            </w:r>
          </w:p>
        </w:tc>
      </w:tr>
      <w:tr>
        <w:tblPrEx>
          <w:tblLayout w:type="fixed"/>
          <w:tblCellMar>
            <w:top w:w="0" w:type="dxa"/>
            <w:left w:w="108" w:type="dxa"/>
            <w:bottom w:w="0" w:type="dxa"/>
            <w:right w:w="108" w:type="dxa"/>
          </w:tblCellMar>
        </w:tblPrEx>
        <w:trPr>
          <w:trHeight w:val="444"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restart"/>
            <w:tcBorders>
              <w:top w:val="nil"/>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B5培养方案</w:t>
            </w: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C7专业方向设置</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所设专业方向</w:t>
            </w:r>
            <w:r>
              <w:rPr>
                <w:rFonts w:hint="eastAsia" w:ascii="仿宋" w:hAnsi="仿宋" w:eastAsia="仿宋"/>
                <w:kern w:val="0"/>
                <w:szCs w:val="21"/>
                <w:lang w:val="en-US" w:eastAsia="zh-CN"/>
              </w:rPr>
              <w:t>符</w:t>
            </w:r>
            <w:r>
              <w:rPr>
                <w:rFonts w:hint="eastAsia" w:ascii="仿宋" w:hAnsi="仿宋" w:eastAsia="仿宋"/>
                <w:kern w:val="0"/>
                <w:szCs w:val="21"/>
              </w:rPr>
              <w:t>合艺术硕士培养目标</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所设专业方向</w:t>
            </w:r>
            <w:r>
              <w:rPr>
                <w:rFonts w:hint="eastAsia" w:ascii="仿宋" w:hAnsi="仿宋" w:eastAsia="仿宋"/>
                <w:kern w:val="0"/>
                <w:szCs w:val="21"/>
                <w:lang w:val="en-US" w:eastAsia="zh-CN"/>
              </w:rPr>
              <w:t>与</w:t>
            </w:r>
            <w:r>
              <w:rPr>
                <w:rFonts w:hint="eastAsia" w:ascii="仿宋" w:hAnsi="仿宋" w:eastAsia="仿宋"/>
                <w:kern w:val="0"/>
                <w:szCs w:val="21"/>
              </w:rPr>
              <w:t>艺术硕士培养目标</w:t>
            </w:r>
            <w:r>
              <w:rPr>
                <w:rFonts w:hint="eastAsia" w:ascii="仿宋" w:hAnsi="仿宋" w:eastAsia="仿宋"/>
                <w:kern w:val="0"/>
                <w:szCs w:val="21"/>
                <w:lang w:val="en-US" w:eastAsia="zh-CN"/>
              </w:rPr>
              <w:t>不符</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学校提供的近五年艺术硕士研究生招生简章</w:t>
            </w:r>
          </w:p>
        </w:tc>
      </w:tr>
      <w:tr>
        <w:tblPrEx>
          <w:tblLayout w:type="fixed"/>
          <w:tblCellMar>
            <w:top w:w="0" w:type="dxa"/>
            <w:left w:w="108" w:type="dxa"/>
            <w:bottom w:w="0" w:type="dxa"/>
            <w:right w:w="108" w:type="dxa"/>
          </w:tblCellMar>
        </w:tblPrEx>
        <w:trPr>
          <w:trHeight w:val="391"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top w:val="nil"/>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b/>
                <w:bCs/>
                <w:kern w:val="0"/>
                <w:szCs w:val="21"/>
                <w:lang w:val="en-US" w:eastAsia="zh-CN"/>
              </w:rPr>
              <w:t>C8培养方式</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课堂学习与专业实践环节符合指导性培养方案要求</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课堂学习与专业实践环节</w:t>
            </w:r>
            <w:r>
              <w:rPr>
                <w:rFonts w:hint="eastAsia" w:ascii="仿宋" w:hAnsi="仿宋" w:eastAsia="仿宋"/>
                <w:kern w:val="0"/>
                <w:szCs w:val="21"/>
                <w:lang w:val="en-US" w:eastAsia="zh-CN"/>
              </w:rPr>
              <w:t>不</w:t>
            </w:r>
            <w:r>
              <w:rPr>
                <w:rFonts w:hint="eastAsia" w:ascii="仿宋" w:hAnsi="仿宋" w:eastAsia="仿宋"/>
                <w:kern w:val="0"/>
                <w:szCs w:val="21"/>
              </w:rPr>
              <w:t>符合指导性培养方案要求</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学校提供的课程表</w:t>
            </w:r>
            <w:r>
              <w:rPr>
                <w:rFonts w:hint="eastAsia" w:ascii="仿宋" w:hAnsi="仿宋" w:eastAsia="仿宋"/>
                <w:kern w:val="0"/>
                <w:szCs w:val="21"/>
                <w:lang w:eastAsia="zh-CN"/>
              </w:rPr>
              <w:t>、</w:t>
            </w:r>
            <w:r>
              <w:rPr>
                <w:rFonts w:hint="eastAsia" w:ascii="仿宋" w:hAnsi="仿宋" w:eastAsia="仿宋"/>
                <w:kern w:val="0"/>
                <w:szCs w:val="21"/>
              </w:rPr>
              <w:t>实地考</w:t>
            </w:r>
            <w:bookmarkStart w:id="0" w:name="_GoBack"/>
            <w:bookmarkEnd w:id="0"/>
            <w:r>
              <w:rPr>
                <w:rFonts w:hint="eastAsia" w:ascii="仿宋" w:hAnsi="仿宋" w:eastAsia="仿宋"/>
                <w:kern w:val="0"/>
                <w:szCs w:val="21"/>
              </w:rPr>
              <w:t>察分析情况</w:t>
            </w:r>
          </w:p>
        </w:tc>
      </w:tr>
      <w:tr>
        <w:tblPrEx>
          <w:tblLayout w:type="fixed"/>
          <w:tblCellMar>
            <w:top w:w="0" w:type="dxa"/>
            <w:left w:w="108" w:type="dxa"/>
            <w:bottom w:w="0" w:type="dxa"/>
            <w:right w:w="108" w:type="dxa"/>
          </w:tblCellMar>
        </w:tblPrEx>
        <w:trPr>
          <w:trHeight w:val="310"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top w:val="nil"/>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b/>
                <w:bCs/>
                <w:kern w:val="0"/>
                <w:szCs w:val="21"/>
                <w:lang w:val="en-US" w:eastAsia="zh-CN"/>
              </w:rPr>
              <w:t>C9课程设置</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各类课程及学分设置符合指导性培养方案结构要求</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各类课程及学分设置</w:t>
            </w:r>
            <w:r>
              <w:rPr>
                <w:rFonts w:hint="eastAsia" w:ascii="仿宋" w:hAnsi="仿宋" w:eastAsia="仿宋"/>
                <w:kern w:val="0"/>
                <w:szCs w:val="21"/>
                <w:lang w:val="en-US" w:eastAsia="zh-CN"/>
              </w:rPr>
              <w:t>不</w:t>
            </w:r>
            <w:r>
              <w:rPr>
                <w:rFonts w:hint="eastAsia" w:ascii="仿宋" w:hAnsi="仿宋" w:eastAsia="仿宋"/>
                <w:kern w:val="0"/>
                <w:szCs w:val="21"/>
              </w:rPr>
              <w:t>符合指导性培养方案结构要求</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学校提供的培养方案及其实施细则</w:t>
            </w:r>
          </w:p>
        </w:tc>
      </w:tr>
      <w:tr>
        <w:tblPrEx>
          <w:tblLayout w:type="fixed"/>
          <w:tblCellMar>
            <w:top w:w="0" w:type="dxa"/>
            <w:left w:w="108" w:type="dxa"/>
            <w:bottom w:w="0" w:type="dxa"/>
            <w:right w:w="108" w:type="dxa"/>
          </w:tblCellMar>
        </w:tblPrEx>
        <w:trPr>
          <w:trHeight w:val="463"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top w:val="nil"/>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b/>
                <w:bCs/>
                <w:kern w:val="0"/>
                <w:szCs w:val="21"/>
                <w:lang w:val="en-US" w:eastAsia="zh-CN"/>
              </w:rPr>
              <w:t>C10教学大纲及计划</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公共课</w:t>
            </w:r>
            <w:r>
              <w:rPr>
                <w:rFonts w:hint="eastAsia" w:ascii="仿宋" w:hAnsi="仿宋" w:eastAsia="仿宋"/>
                <w:kern w:val="0"/>
                <w:szCs w:val="21"/>
                <w:lang w:eastAsia="zh-CN"/>
              </w:rPr>
              <w:t>（</w:t>
            </w:r>
            <w:r>
              <w:rPr>
                <w:rFonts w:hint="eastAsia" w:ascii="仿宋" w:hAnsi="仿宋" w:eastAsia="仿宋"/>
                <w:kern w:val="0"/>
                <w:szCs w:val="21"/>
              </w:rPr>
              <w:t>教育部规定的必修课程</w:t>
            </w:r>
            <w:r>
              <w:rPr>
                <w:rFonts w:hint="eastAsia" w:ascii="仿宋" w:hAnsi="仿宋" w:eastAsia="仿宋"/>
                <w:kern w:val="0"/>
                <w:szCs w:val="21"/>
                <w:lang w:eastAsia="zh-CN"/>
              </w:rPr>
              <w:t>）、</w:t>
            </w:r>
            <w:r>
              <w:rPr>
                <w:rFonts w:hint="eastAsia" w:ascii="仿宋" w:hAnsi="仿宋" w:eastAsia="仿宋"/>
                <w:kern w:val="0"/>
                <w:szCs w:val="21"/>
              </w:rPr>
              <w:t>专业主科外的专业必修课和选修课有完整的教学大纲</w:t>
            </w:r>
            <w:r>
              <w:rPr>
                <w:rFonts w:hint="eastAsia" w:ascii="仿宋" w:hAnsi="仿宋" w:eastAsia="仿宋"/>
                <w:kern w:val="0"/>
                <w:szCs w:val="21"/>
                <w:lang w:eastAsia="zh-CN"/>
              </w:rPr>
              <w:t>、</w:t>
            </w:r>
            <w:r>
              <w:rPr>
                <w:rFonts w:hint="eastAsia" w:ascii="仿宋" w:hAnsi="仿宋" w:eastAsia="仿宋"/>
                <w:kern w:val="0"/>
                <w:szCs w:val="21"/>
              </w:rPr>
              <w:t>专业主课有相应的教学计划。</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公共课</w:t>
            </w:r>
            <w:r>
              <w:rPr>
                <w:rFonts w:hint="eastAsia" w:ascii="仿宋" w:hAnsi="仿宋" w:eastAsia="仿宋"/>
                <w:kern w:val="0"/>
                <w:szCs w:val="21"/>
                <w:lang w:eastAsia="zh-CN"/>
              </w:rPr>
              <w:t>（</w:t>
            </w:r>
            <w:r>
              <w:rPr>
                <w:rFonts w:hint="eastAsia" w:ascii="仿宋" w:hAnsi="仿宋" w:eastAsia="仿宋"/>
                <w:kern w:val="0"/>
                <w:szCs w:val="21"/>
              </w:rPr>
              <w:t>教育部规定的必修课程</w:t>
            </w:r>
            <w:r>
              <w:rPr>
                <w:rFonts w:hint="eastAsia" w:ascii="仿宋" w:hAnsi="仿宋" w:eastAsia="仿宋"/>
                <w:kern w:val="0"/>
                <w:szCs w:val="21"/>
                <w:lang w:eastAsia="zh-CN"/>
              </w:rPr>
              <w:t>）、</w:t>
            </w:r>
            <w:r>
              <w:rPr>
                <w:rFonts w:hint="eastAsia" w:ascii="仿宋" w:hAnsi="仿宋" w:eastAsia="仿宋"/>
                <w:kern w:val="0"/>
                <w:szCs w:val="21"/>
              </w:rPr>
              <w:t>专业主科外的专业必修课和选修课</w:t>
            </w:r>
            <w:r>
              <w:rPr>
                <w:rFonts w:hint="eastAsia" w:ascii="仿宋" w:hAnsi="仿宋" w:eastAsia="仿宋"/>
                <w:kern w:val="0"/>
                <w:szCs w:val="21"/>
                <w:lang w:val="en-US" w:eastAsia="zh-CN"/>
              </w:rPr>
              <w:t>没</w:t>
            </w:r>
            <w:r>
              <w:rPr>
                <w:rFonts w:hint="eastAsia" w:ascii="仿宋" w:hAnsi="仿宋" w:eastAsia="仿宋"/>
                <w:kern w:val="0"/>
                <w:szCs w:val="21"/>
              </w:rPr>
              <w:t>有完整的教学大纲</w:t>
            </w:r>
            <w:r>
              <w:rPr>
                <w:rFonts w:hint="eastAsia" w:ascii="仿宋" w:hAnsi="仿宋" w:eastAsia="仿宋"/>
                <w:kern w:val="0"/>
                <w:szCs w:val="21"/>
                <w:lang w:eastAsia="zh-CN"/>
              </w:rPr>
              <w:t>、</w:t>
            </w:r>
            <w:r>
              <w:rPr>
                <w:rFonts w:hint="eastAsia" w:ascii="仿宋" w:hAnsi="仿宋" w:eastAsia="仿宋"/>
                <w:kern w:val="0"/>
                <w:szCs w:val="21"/>
              </w:rPr>
              <w:t>专业主课</w:t>
            </w:r>
            <w:r>
              <w:rPr>
                <w:rFonts w:hint="eastAsia" w:ascii="仿宋" w:hAnsi="仿宋" w:eastAsia="仿宋"/>
                <w:kern w:val="0"/>
                <w:szCs w:val="21"/>
                <w:lang w:val="en-US" w:eastAsia="zh-CN"/>
              </w:rPr>
              <w:t>没</w:t>
            </w:r>
            <w:r>
              <w:rPr>
                <w:rFonts w:hint="eastAsia" w:ascii="仿宋" w:hAnsi="仿宋" w:eastAsia="仿宋"/>
                <w:kern w:val="0"/>
                <w:szCs w:val="21"/>
              </w:rPr>
              <w:t>有相应的教学计划。</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学校提供公共课程的教学大纲及专业课程的教学计划</w:t>
            </w:r>
          </w:p>
        </w:tc>
      </w:tr>
      <w:tr>
        <w:tblPrEx>
          <w:tblLayout w:type="fixed"/>
          <w:tblCellMar>
            <w:top w:w="0" w:type="dxa"/>
            <w:left w:w="108" w:type="dxa"/>
            <w:bottom w:w="0" w:type="dxa"/>
            <w:right w:w="108" w:type="dxa"/>
          </w:tblCellMar>
        </w:tblPrEx>
        <w:trPr>
          <w:trHeight w:val="438"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top w:val="nil"/>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b/>
                <w:bCs/>
                <w:kern w:val="0"/>
                <w:szCs w:val="21"/>
                <w:lang w:val="en-US" w:eastAsia="zh-CN"/>
              </w:rPr>
              <w:t>C11教学时间</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教学时间能够保证</w:t>
            </w:r>
            <w:r>
              <w:rPr>
                <w:rFonts w:hint="eastAsia" w:ascii="仿宋" w:hAnsi="仿宋" w:eastAsia="仿宋"/>
                <w:kern w:val="0"/>
                <w:szCs w:val="21"/>
                <w:lang w:eastAsia="zh-CN"/>
              </w:rPr>
              <w:t>，</w:t>
            </w:r>
            <w:r>
              <w:rPr>
                <w:rFonts w:hint="eastAsia" w:ascii="仿宋" w:hAnsi="仿宋" w:eastAsia="仿宋"/>
                <w:kern w:val="0"/>
                <w:szCs w:val="21"/>
              </w:rPr>
              <w:t>学分与课时能够对应</w:t>
            </w:r>
            <w:r>
              <w:rPr>
                <w:rFonts w:hint="eastAsia" w:ascii="仿宋" w:hAnsi="仿宋" w:eastAsia="仿宋"/>
                <w:kern w:val="0"/>
                <w:szCs w:val="21"/>
                <w:lang w:eastAsia="zh-CN"/>
              </w:rPr>
              <w:t>（</w:t>
            </w:r>
            <w:r>
              <w:rPr>
                <w:rFonts w:hint="eastAsia" w:ascii="仿宋" w:hAnsi="仿宋" w:eastAsia="仿宋"/>
                <w:kern w:val="0"/>
                <w:szCs w:val="21"/>
              </w:rPr>
              <w:t>课程学分计算方式</w:t>
            </w:r>
            <w:r>
              <w:rPr>
                <w:rFonts w:hint="eastAsia" w:ascii="仿宋" w:hAnsi="仿宋" w:eastAsia="仿宋"/>
                <w:kern w:val="0"/>
                <w:szCs w:val="21"/>
                <w:lang w:eastAsia="zh-CN"/>
              </w:rPr>
              <w:t>：</w:t>
            </w:r>
            <w:r>
              <w:rPr>
                <w:rFonts w:hint="eastAsia" w:ascii="仿宋" w:hAnsi="仿宋" w:eastAsia="仿宋"/>
                <w:kern w:val="0"/>
                <w:szCs w:val="21"/>
                <w:lang w:val="en-US" w:eastAsia="zh-CN"/>
              </w:rPr>
              <w:t>1</w:t>
            </w:r>
            <w:r>
              <w:rPr>
                <w:rFonts w:hint="eastAsia" w:ascii="仿宋" w:hAnsi="仿宋" w:eastAsia="仿宋"/>
                <w:kern w:val="0"/>
                <w:szCs w:val="21"/>
              </w:rPr>
              <w:t>学分不低于16课时</w:t>
            </w:r>
            <w:r>
              <w:rPr>
                <w:rFonts w:hint="eastAsia" w:ascii="仿宋" w:hAnsi="仿宋" w:eastAsia="仿宋"/>
                <w:kern w:val="0"/>
                <w:szCs w:val="21"/>
                <w:lang w:eastAsia="zh-CN"/>
              </w:rPr>
              <w:t>）</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教学时间</w:t>
            </w:r>
            <w:r>
              <w:rPr>
                <w:rFonts w:hint="eastAsia" w:ascii="仿宋" w:hAnsi="仿宋" w:eastAsia="仿宋"/>
                <w:kern w:val="0"/>
                <w:szCs w:val="21"/>
                <w:lang w:val="en-US" w:eastAsia="zh-CN"/>
              </w:rPr>
              <w:t>不</w:t>
            </w:r>
            <w:r>
              <w:rPr>
                <w:rFonts w:hint="eastAsia" w:ascii="仿宋" w:hAnsi="仿宋" w:eastAsia="仿宋"/>
                <w:kern w:val="0"/>
                <w:szCs w:val="21"/>
              </w:rPr>
              <w:t>能够保证</w:t>
            </w:r>
            <w:r>
              <w:rPr>
                <w:rFonts w:hint="eastAsia" w:ascii="仿宋" w:hAnsi="仿宋" w:eastAsia="仿宋"/>
                <w:kern w:val="0"/>
                <w:szCs w:val="21"/>
                <w:lang w:eastAsia="zh-CN"/>
              </w:rPr>
              <w:t>，</w:t>
            </w:r>
            <w:r>
              <w:rPr>
                <w:rFonts w:hint="eastAsia" w:ascii="仿宋" w:hAnsi="仿宋" w:eastAsia="仿宋"/>
                <w:kern w:val="0"/>
                <w:szCs w:val="21"/>
              </w:rPr>
              <w:t>学分与课时</w:t>
            </w:r>
            <w:r>
              <w:rPr>
                <w:rFonts w:hint="eastAsia" w:ascii="仿宋" w:hAnsi="仿宋" w:eastAsia="仿宋"/>
                <w:kern w:val="0"/>
                <w:szCs w:val="21"/>
                <w:lang w:val="en-US" w:eastAsia="zh-CN"/>
              </w:rPr>
              <w:t>不</w:t>
            </w:r>
            <w:r>
              <w:rPr>
                <w:rFonts w:hint="eastAsia" w:ascii="仿宋" w:hAnsi="仿宋" w:eastAsia="仿宋"/>
                <w:kern w:val="0"/>
                <w:szCs w:val="21"/>
              </w:rPr>
              <w:t>能够对应</w:t>
            </w:r>
          </w:p>
        </w:tc>
        <w:tc>
          <w:tcPr>
            <w:tcW w:w="2568"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学校提供的课程表</w:t>
            </w:r>
          </w:p>
        </w:tc>
      </w:tr>
      <w:tr>
        <w:tblPrEx>
          <w:tblLayout w:type="fixed"/>
          <w:tblCellMar>
            <w:top w:w="0" w:type="dxa"/>
            <w:left w:w="108" w:type="dxa"/>
            <w:bottom w:w="0" w:type="dxa"/>
            <w:right w:w="108" w:type="dxa"/>
          </w:tblCellMar>
        </w:tblPrEx>
        <w:trPr>
          <w:trHeight w:val="315" w:hRule="atLeast"/>
        </w:trPr>
        <w:tc>
          <w:tcPr>
            <w:tcW w:w="1126"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top w:val="nil"/>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C12课程考核</w:t>
            </w:r>
          </w:p>
        </w:tc>
        <w:tc>
          <w:tcPr>
            <w:tcW w:w="408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每门课程有学期、学年考核记录</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课程没有学期、学年考核记录或记录不齐全</w:t>
            </w:r>
          </w:p>
        </w:tc>
        <w:tc>
          <w:tcPr>
            <w:tcW w:w="2568"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学校提供的课程考核记录</w:t>
            </w:r>
          </w:p>
        </w:tc>
      </w:tr>
      <w:tr>
        <w:tblPrEx>
          <w:tblLayout w:type="fixed"/>
          <w:tblCellMar>
            <w:top w:w="0" w:type="dxa"/>
            <w:left w:w="108" w:type="dxa"/>
            <w:bottom w:w="0" w:type="dxa"/>
            <w:right w:w="108" w:type="dxa"/>
          </w:tblCellMar>
        </w:tblPrEx>
        <w:trPr>
          <w:trHeight w:val="315" w:hRule="atLeast"/>
        </w:trPr>
        <w:tc>
          <w:tcPr>
            <w:tcW w:w="1126" w:type="dxa"/>
            <w:vMerge w:val="restart"/>
            <w:tcBorders>
              <w:top w:val="nil"/>
              <w:left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restart"/>
            <w:tcBorders>
              <w:top w:val="nil"/>
              <w:left w:val="nil"/>
              <w:right w:val="single" w:color="000000" w:sz="4" w:space="0"/>
            </w:tcBorders>
            <w:vAlign w:val="center"/>
          </w:tcPr>
          <w:p>
            <w:pPr>
              <w:widowControl/>
              <w:jc w:val="left"/>
              <w:rPr>
                <w:rFonts w:hint="eastAsia" w:ascii="仿宋" w:hAnsi="仿宋" w:eastAsia="仿宋"/>
                <w:kern w:val="0"/>
                <w:szCs w:val="21"/>
                <w:lang w:val="en-US" w:eastAsia="zh-CN"/>
              </w:rPr>
            </w:pPr>
            <w:r>
              <w:rPr>
                <w:rFonts w:hint="eastAsia" w:ascii="仿宋" w:hAnsi="仿宋" w:eastAsia="仿宋"/>
                <w:kern w:val="0"/>
                <w:szCs w:val="21"/>
                <w:lang w:val="en-US" w:eastAsia="zh-CN"/>
              </w:rPr>
              <w:t>B7毕业考核</w:t>
            </w: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b/>
                <w:bCs/>
                <w:kern w:val="0"/>
                <w:szCs w:val="21"/>
                <w:lang w:val="en-US" w:eastAsia="zh-CN"/>
              </w:rPr>
              <w:t>C13毕业创作与展示质量</w:t>
            </w:r>
          </w:p>
        </w:tc>
        <w:tc>
          <w:tcPr>
            <w:tcW w:w="408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符合指导性培养方案规定要求</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不符合指导性培养方案规定要求</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学校提供的学生毕业创作与展示记录表，及实地抽查情况</w:t>
            </w:r>
          </w:p>
        </w:tc>
      </w:tr>
      <w:tr>
        <w:tblPrEx>
          <w:tblLayout w:type="fixed"/>
          <w:tblCellMar>
            <w:top w:w="0" w:type="dxa"/>
            <w:left w:w="108" w:type="dxa"/>
            <w:bottom w:w="0" w:type="dxa"/>
            <w:right w:w="108" w:type="dxa"/>
          </w:tblCellMar>
        </w:tblPrEx>
        <w:trPr>
          <w:trHeight w:val="315" w:hRule="atLeast"/>
        </w:trPr>
        <w:tc>
          <w:tcPr>
            <w:tcW w:w="1126" w:type="dxa"/>
            <w:vMerge w:val="continue"/>
            <w:tcBorders>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b/>
                <w:bCs/>
                <w:kern w:val="0"/>
                <w:szCs w:val="21"/>
                <w:lang w:val="en-US" w:eastAsia="zh-CN"/>
              </w:rPr>
              <w:t>C14论文质量</w:t>
            </w:r>
          </w:p>
        </w:tc>
        <w:tc>
          <w:tcPr>
            <w:tcW w:w="408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选题与毕业创作相结合，符合指导性培养方案要求</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选题</w:t>
            </w:r>
            <w:r>
              <w:rPr>
                <w:rFonts w:hint="eastAsia" w:ascii="仿宋" w:hAnsi="仿宋" w:eastAsia="仿宋"/>
                <w:kern w:val="0"/>
                <w:szCs w:val="21"/>
                <w:lang w:val="en-US" w:eastAsia="zh-CN"/>
              </w:rPr>
              <w:t>不</w:t>
            </w:r>
            <w:r>
              <w:rPr>
                <w:rFonts w:hint="eastAsia" w:ascii="仿宋" w:hAnsi="仿宋" w:eastAsia="仿宋"/>
                <w:kern w:val="0"/>
                <w:szCs w:val="21"/>
              </w:rPr>
              <w:t>符合指导性培养方案要求</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学校提供的学生学位论文题目和论文摘要</w:t>
            </w:r>
            <w:r>
              <w:rPr>
                <w:rFonts w:hint="eastAsia" w:ascii="仿宋" w:hAnsi="仿宋" w:eastAsia="仿宋"/>
                <w:kern w:val="0"/>
                <w:szCs w:val="21"/>
                <w:lang w:eastAsia="zh-CN"/>
              </w:rPr>
              <w:t>，</w:t>
            </w:r>
            <w:r>
              <w:rPr>
                <w:rFonts w:hint="eastAsia" w:ascii="仿宋" w:hAnsi="仿宋" w:eastAsia="仿宋"/>
                <w:kern w:val="0"/>
                <w:szCs w:val="21"/>
              </w:rPr>
              <w:t>抽查分析情况</w:t>
            </w:r>
          </w:p>
        </w:tc>
      </w:tr>
      <w:tr>
        <w:tblPrEx>
          <w:tblLayout w:type="fixed"/>
          <w:tblCellMar>
            <w:top w:w="0" w:type="dxa"/>
            <w:left w:w="108" w:type="dxa"/>
            <w:bottom w:w="0" w:type="dxa"/>
            <w:right w:w="108" w:type="dxa"/>
          </w:tblCellMar>
        </w:tblPrEx>
        <w:trPr>
          <w:trHeight w:val="616" w:hRule="atLeast"/>
        </w:trPr>
        <w:tc>
          <w:tcPr>
            <w:tcW w:w="1126" w:type="dxa"/>
            <w:vMerge w:val="restart"/>
            <w:tcBorders>
              <w:top w:val="nil"/>
              <w:left w:val="single" w:color="000000" w:sz="4" w:space="0"/>
              <w:bottom w:val="single" w:color="000000" w:sz="4" w:space="0"/>
              <w:right w:val="single" w:color="000000" w:sz="4" w:space="0"/>
            </w:tcBorders>
            <w:vAlign w:val="center"/>
          </w:tcPr>
          <w:p>
            <w:pPr>
              <w:widowControl/>
              <w:rPr>
                <w:rFonts w:hint="eastAsia" w:ascii="仿宋" w:hAnsi="仿宋" w:eastAsia="仿宋"/>
                <w:b/>
                <w:bCs/>
                <w:kern w:val="0"/>
                <w:szCs w:val="21"/>
                <w:lang w:eastAsia="zh-CN"/>
              </w:rPr>
            </w:pPr>
            <w:r>
              <w:rPr>
                <w:rFonts w:hint="eastAsia" w:ascii="仿宋" w:hAnsi="仿宋" w:eastAsia="仿宋"/>
                <w:b/>
                <w:bCs/>
                <w:kern w:val="0"/>
                <w:szCs w:val="21"/>
                <w:lang w:val="en-US" w:eastAsia="zh-CN"/>
              </w:rPr>
              <w:t>A3质量保障</w:t>
            </w:r>
          </w:p>
        </w:tc>
        <w:tc>
          <w:tcPr>
            <w:tcW w:w="1401" w:type="dxa"/>
            <w:vMerge w:val="restart"/>
            <w:tcBorders>
              <w:top w:val="nil"/>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B8保障机构</w:t>
            </w: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C15校级管理</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有专门管理机构及人员</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没有专门管理机构及人员</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学校提供的艺术硕士教育管理材料及检查分析情况</w:t>
            </w:r>
          </w:p>
        </w:tc>
      </w:tr>
      <w:tr>
        <w:tblPrEx>
          <w:tblLayout w:type="fixed"/>
          <w:tblCellMar>
            <w:top w:w="0" w:type="dxa"/>
            <w:left w:w="108" w:type="dxa"/>
            <w:bottom w:w="0" w:type="dxa"/>
            <w:right w:w="108" w:type="dxa"/>
          </w:tblCellMar>
        </w:tblPrEx>
        <w:trPr>
          <w:trHeight w:val="687" w:hRule="atLeast"/>
        </w:trPr>
        <w:tc>
          <w:tcPr>
            <w:tcW w:w="1126" w:type="dxa"/>
            <w:vMerge w:val="continue"/>
            <w:tcBorders>
              <w:top w:val="nil"/>
              <w:left w:val="single" w:color="000000" w:sz="4" w:space="0"/>
              <w:bottom w:val="nil"/>
              <w:right w:val="single" w:color="000000" w:sz="4" w:space="0"/>
            </w:tcBorders>
            <w:vAlign w:val="center"/>
          </w:tcPr>
          <w:p>
            <w:pPr>
              <w:widowControl/>
              <w:jc w:val="left"/>
              <w:rPr>
                <w:rFonts w:ascii="仿宋" w:hAnsi="仿宋" w:eastAsia="仿宋"/>
                <w:b/>
                <w:bCs/>
                <w:kern w:val="0"/>
                <w:szCs w:val="21"/>
              </w:rPr>
            </w:pPr>
          </w:p>
        </w:tc>
        <w:tc>
          <w:tcPr>
            <w:tcW w:w="1401" w:type="dxa"/>
            <w:vMerge w:val="continue"/>
            <w:tcBorders>
              <w:top w:val="nil"/>
              <w:left w:val="nil"/>
              <w:bottom w:val="nil"/>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eastAsia="zh-CN"/>
              </w:rPr>
            </w:pPr>
            <w:r>
              <w:rPr>
                <w:rFonts w:hint="eastAsia" w:ascii="仿宋" w:hAnsi="仿宋" w:eastAsia="仿宋"/>
                <w:kern w:val="0"/>
                <w:szCs w:val="21"/>
                <w:lang w:val="en-US" w:eastAsia="zh-CN"/>
              </w:rPr>
              <w:t>C16院（系）级管理</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有专门管理机构及人员</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没有专门管理机构及人员</w:t>
            </w:r>
          </w:p>
        </w:tc>
        <w:tc>
          <w:tcPr>
            <w:tcW w:w="2568"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同上</w:t>
            </w:r>
          </w:p>
        </w:tc>
      </w:tr>
      <w:tr>
        <w:tblPrEx>
          <w:tblLayout w:type="fixed"/>
          <w:tblCellMar>
            <w:top w:w="0" w:type="dxa"/>
            <w:left w:w="108" w:type="dxa"/>
            <w:bottom w:w="0" w:type="dxa"/>
            <w:right w:w="108" w:type="dxa"/>
          </w:tblCellMar>
        </w:tblPrEx>
        <w:trPr>
          <w:trHeight w:val="702" w:hRule="atLeast"/>
        </w:trPr>
        <w:tc>
          <w:tcPr>
            <w:tcW w:w="1126" w:type="dxa"/>
            <w:tcBorders>
              <w:top w:val="nil"/>
              <w:left w:val="single" w:color="000000" w:sz="4" w:space="0"/>
              <w:bottom w:val="nil"/>
              <w:right w:val="single" w:color="000000" w:sz="4" w:space="0"/>
            </w:tcBorders>
            <w:vAlign w:val="center"/>
          </w:tcPr>
          <w:p>
            <w:pPr>
              <w:widowControl/>
              <w:jc w:val="left"/>
              <w:rPr>
                <w:rFonts w:ascii="仿宋" w:hAnsi="仿宋" w:eastAsia="仿宋"/>
                <w:b/>
                <w:bCs/>
                <w:kern w:val="0"/>
                <w:szCs w:val="21"/>
              </w:rPr>
            </w:pPr>
          </w:p>
        </w:tc>
        <w:tc>
          <w:tcPr>
            <w:tcW w:w="1401" w:type="dxa"/>
            <w:tcBorders>
              <w:top w:val="nil"/>
              <w:left w:val="nil"/>
              <w:bottom w:val="nil"/>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b/>
                <w:bCs/>
                <w:kern w:val="0"/>
                <w:szCs w:val="21"/>
                <w:lang w:val="en-US" w:eastAsia="zh-CN"/>
              </w:rPr>
              <w:t>C17课程教学管理</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有课程教学管理制度和实施办法，并按规章管理</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没</w:t>
            </w:r>
            <w:r>
              <w:rPr>
                <w:rFonts w:hint="eastAsia" w:ascii="仿宋" w:hAnsi="仿宋" w:eastAsia="仿宋"/>
                <w:kern w:val="0"/>
                <w:szCs w:val="21"/>
              </w:rPr>
              <w:t>有课程教学管理制度和实施办法，</w:t>
            </w:r>
            <w:r>
              <w:rPr>
                <w:rFonts w:hint="eastAsia" w:ascii="仿宋" w:hAnsi="仿宋" w:eastAsia="仿宋"/>
                <w:kern w:val="0"/>
                <w:szCs w:val="21"/>
                <w:lang w:val="en-US" w:eastAsia="zh-CN"/>
              </w:rPr>
              <w:t>或未</w:t>
            </w:r>
            <w:r>
              <w:rPr>
                <w:rFonts w:hint="eastAsia" w:ascii="仿宋" w:hAnsi="仿宋" w:eastAsia="仿宋"/>
                <w:kern w:val="0"/>
                <w:szCs w:val="21"/>
              </w:rPr>
              <w:t>按规章管理</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学校提供的有关管理制度及考察分级情况</w:t>
            </w:r>
          </w:p>
        </w:tc>
      </w:tr>
      <w:tr>
        <w:tblPrEx>
          <w:tblLayout w:type="fixed"/>
          <w:tblCellMar>
            <w:top w:w="0" w:type="dxa"/>
            <w:left w:w="108" w:type="dxa"/>
            <w:bottom w:w="0" w:type="dxa"/>
            <w:right w:w="108" w:type="dxa"/>
          </w:tblCellMar>
        </w:tblPrEx>
        <w:trPr>
          <w:trHeight w:val="982" w:hRule="atLeast"/>
        </w:trPr>
        <w:tc>
          <w:tcPr>
            <w:tcW w:w="1126" w:type="dxa"/>
            <w:tcBorders>
              <w:top w:val="nil"/>
              <w:left w:val="single" w:color="000000" w:sz="4" w:space="0"/>
              <w:bottom w:val="nil"/>
              <w:right w:val="single" w:color="000000" w:sz="4" w:space="0"/>
            </w:tcBorders>
            <w:vAlign w:val="center"/>
          </w:tcPr>
          <w:p>
            <w:pPr>
              <w:widowControl/>
              <w:jc w:val="left"/>
              <w:rPr>
                <w:rFonts w:ascii="仿宋" w:hAnsi="仿宋" w:eastAsia="仿宋"/>
                <w:b/>
                <w:bCs/>
                <w:kern w:val="0"/>
                <w:szCs w:val="21"/>
              </w:rPr>
            </w:pPr>
          </w:p>
        </w:tc>
        <w:tc>
          <w:tcPr>
            <w:tcW w:w="1401" w:type="dxa"/>
            <w:tcBorders>
              <w:top w:val="nil"/>
              <w:left w:val="nil"/>
              <w:bottom w:val="nil"/>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b/>
                <w:bCs/>
                <w:kern w:val="0"/>
                <w:szCs w:val="21"/>
                <w:lang w:val="en-US" w:eastAsia="zh-CN"/>
              </w:rPr>
              <w:t>C18实践、创作及展示质量管理</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有</w:t>
            </w:r>
            <w:r>
              <w:rPr>
                <w:rFonts w:hint="eastAsia" w:ascii="仿宋" w:hAnsi="仿宋" w:eastAsia="仿宋"/>
                <w:kern w:val="0"/>
                <w:szCs w:val="21"/>
                <w:lang w:val="en-US" w:eastAsia="zh-CN"/>
              </w:rPr>
              <w:t>实践、</w:t>
            </w:r>
            <w:r>
              <w:rPr>
                <w:rFonts w:hint="eastAsia" w:ascii="仿宋" w:hAnsi="仿宋" w:eastAsia="仿宋"/>
                <w:kern w:val="0"/>
                <w:szCs w:val="21"/>
              </w:rPr>
              <w:t>创作与展示质量保障制度和办法，并按章管理</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没</w:t>
            </w:r>
            <w:r>
              <w:rPr>
                <w:rFonts w:hint="eastAsia" w:ascii="仿宋" w:hAnsi="仿宋" w:eastAsia="仿宋"/>
                <w:kern w:val="0"/>
                <w:szCs w:val="21"/>
              </w:rPr>
              <w:t>有</w:t>
            </w:r>
            <w:r>
              <w:rPr>
                <w:rFonts w:hint="eastAsia" w:ascii="仿宋" w:hAnsi="仿宋" w:eastAsia="仿宋"/>
                <w:kern w:val="0"/>
                <w:szCs w:val="21"/>
                <w:lang w:val="en-US" w:eastAsia="zh-CN"/>
              </w:rPr>
              <w:t>实践、</w:t>
            </w:r>
            <w:r>
              <w:rPr>
                <w:rFonts w:hint="eastAsia" w:ascii="仿宋" w:hAnsi="仿宋" w:eastAsia="仿宋"/>
                <w:kern w:val="0"/>
                <w:szCs w:val="21"/>
              </w:rPr>
              <w:t>创作与展示质量保障制度和办法，</w:t>
            </w:r>
            <w:r>
              <w:rPr>
                <w:rFonts w:hint="eastAsia" w:ascii="仿宋" w:hAnsi="仿宋" w:eastAsia="仿宋"/>
                <w:kern w:val="0"/>
                <w:szCs w:val="21"/>
                <w:lang w:val="en-US" w:eastAsia="zh-CN"/>
              </w:rPr>
              <w:t>或未</w:t>
            </w:r>
            <w:r>
              <w:rPr>
                <w:rFonts w:hint="eastAsia" w:ascii="仿宋" w:hAnsi="仿宋" w:eastAsia="仿宋"/>
                <w:kern w:val="0"/>
                <w:szCs w:val="21"/>
              </w:rPr>
              <w:t>按章管理</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同上</w:t>
            </w:r>
          </w:p>
        </w:tc>
      </w:tr>
      <w:tr>
        <w:tblPrEx>
          <w:tblLayout w:type="fixed"/>
          <w:tblCellMar>
            <w:top w:w="0" w:type="dxa"/>
            <w:left w:w="108" w:type="dxa"/>
            <w:bottom w:w="0" w:type="dxa"/>
            <w:right w:w="108" w:type="dxa"/>
          </w:tblCellMar>
        </w:tblPrEx>
        <w:trPr>
          <w:trHeight w:val="982" w:hRule="atLeast"/>
        </w:trPr>
        <w:tc>
          <w:tcPr>
            <w:tcW w:w="1126" w:type="dxa"/>
            <w:tcBorders>
              <w:top w:val="nil"/>
              <w:left w:val="single" w:color="000000" w:sz="4" w:space="0"/>
              <w:bottom w:val="nil"/>
              <w:right w:val="single" w:color="000000" w:sz="4" w:space="0"/>
            </w:tcBorders>
            <w:vAlign w:val="center"/>
          </w:tcPr>
          <w:p>
            <w:pPr>
              <w:widowControl/>
              <w:jc w:val="left"/>
              <w:rPr>
                <w:rFonts w:ascii="仿宋" w:hAnsi="仿宋" w:eastAsia="仿宋"/>
                <w:b/>
                <w:bCs/>
                <w:kern w:val="0"/>
                <w:szCs w:val="21"/>
              </w:rPr>
            </w:pPr>
          </w:p>
        </w:tc>
        <w:tc>
          <w:tcPr>
            <w:tcW w:w="1401" w:type="dxa"/>
            <w:tcBorders>
              <w:top w:val="nil"/>
              <w:left w:val="nil"/>
              <w:bottom w:val="nil"/>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C19学位论文质量管理</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有学位论文质量保障制度和办法，并按章管理</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没</w:t>
            </w:r>
            <w:r>
              <w:rPr>
                <w:rFonts w:hint="eastAsia" w:ascii="仿宋" w:hAnsi="仿宋" w:eastAsia="仿宋"/>
                <w:kern w:val="0"/>
                <w:szCs w:val="21"/>
              </w:rPr>
              <w:t>有学位论文质量保障制度和办法，</w:t>
            </w:r>
            <w:r>
              <w:rPr>
                <w:rFonts w:hint="eastAsia" w:ascii="仿宋" w:hAnsi="仿宋" w:eastAsia="仿宋"/>
                <w:kern w:val="0"/>
                <w:szCs w:val="21"/>
                <w:lang w:val="en-US" w:eastAsia="zh-CN"/>
              </w:rPr>
              <w:t>或未</w:t>
            </w:r>
            <w:r>
              <w:rPr>
                <w:rFonts w:hint="eastAsia" w:ascii="仿宋" w:hAnsi="仿宋" w:eastAsia="仿宋"/>
                <w:kern w:val="0"/>
                <w:szCs w:val="21"/>
              </w:rPr>
              <w:t>按章管理</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lang w:val="en-US" w:eastAsia="zh-CN"/>
              </w:rPr>
              <w:t>同上</w:t>
            </w:r>
          </w:p>
        </w:tc>
      </w:tr>
      <w:tr>
        <w:tblPrEx>
          <w:tblLayout w:type="fixed"/>
          <w:tblCellMar>
            <w:top w:w="0" w:type="dxa"/>
            <w:left w:w="108" w:type="dxa"/>
            <w:bottom w:w="0" w:type="dxa"/>
            <w:right w:w="108" w:type="dxa"/>
          </w:tblCellMar>
        </w:tblPrEx>
        <w:trPr>
          <w:trHeight w:val="982" w:hRule="atLeast"/>
        </w:trPr>
        <w:tc>
          <w:tcPr>
            <w:tcW w:w="1126" w:type="dxa"/>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b/>
                <w:bCs/>
                <w:kern w:val="0"/>
                <w:szCs w:val="21"/>
              </w:rPr>
            </w:pPr>
          </w:p>
        </w:tc>
        <w:tc>
          <w:tcPr>
            <w:tcW w:w="1401" w:type="dxa"/>
            <w:tcBorders>
              <w:top w:val="nil"/>
              <w:left w:val="nil"/>
              <w:bottom w:val="single" w:color="000000" w:sz="4" w:space="0"/>
              <w:right w:val="single" w:color="000000" w:sz="4" w:space="0"/>
            </w:tcBorders>
            <w:vAlign w:val="center"/>
          </w:tcPr>
          <w:p>
            <w:pPr>
              <w:widowControl/>
              <w:jc w:val="left"/>
              <w:rPr>
                <w:rFonts w:ascii="仿宋" w:hAnsi="仿宋" w:eastAsia="仿宋"/>
                <w:kern w:val="0"/>
                <w:szCs w:val="21"/>
              </w:rPr>
            </w:pPr>
          </w:p>
        </w:tc>
        <w:tc>
          <w:tcPr>
            <w:tcW w:w="1410" w:type="dxa"/>
            <w:tcBorders>
              <w:top w:val="single" w:color="000000" w:sz="4" w:space="0"/>
              <w:left w:val="nil"/>
              <w:bottom w:val="single" w:color="000000" w:sz="4" w:space="0"/>
              <w:right w:val="single" w:color="000000" w:sz="4" w:space="0"/>
            </w:tcBorders>
            <w:vAlign w:val="center"/>
          </w:tcPr>
          <w:p>
            <w:pPr>
              <w:widowControl/>
              <w:rPr>
                <w:rFonts w:hint="eastAsia" w:ascii="仿宋" w:hAnsi="仿宋" w:eastAsia="仿宋"/>
                <w:kern w:val="0"/>
                <w:szCs w:val="21"/>
                <w:lang w:val="en-US" w:eastAsia="zh-CN"/>
              </w:rPr>
            </w:pPr>
            <w:r>
              <w:rPr>
                <w:rFonts w:hint="eastAsia" w:ascii="仿宋" w:hAnsi="仿宋" w:eastAsia="仿宋"/>
                <w:kern w:val="0"/>
                <w:szCs w:val="21"/>
                <w:lang w:val="en-US" w:eastAsia="zh-CN"/>
              </w:rPr>
              <w:t>C20毕业档案资料管理</w:t>
            </w:r>
          </w:p>
        </w:tc>
        <w:tc>
          <w:tcPr>
            <w:tcW w:w="408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毕业生实践展示</w:t>
            </w:r>
            <w:r>
              <w:rPr>
                <w:rFonts w:hint="eastAsia" w:ascii="仿宋" w:hAnsi="仿宋" w:eastAsia="仿宋"/>
                <w:kern w:val="0"/>
                <w:szCs w:val="21"/>
                <w:lang w:eastAsia="zh-CN"/>
              </w:rPr>
              <w:t>、</w:t>
            </w:r>
            <w:r>
              <w:rPr>
                <w:rFonts w:hint="eastAsia" w:ascii="仿宋" w:hAnsi="仿宋" w:eastAsia="仿宋"/>
                <w:kern w:val="0"/>
                <w:szCs w:val="21"/>
              </w:rPr>
              <w:t>论文及答辩材料齐全</w:t>
            </w:r>
          </w:p>
        </w:tc>
        <w:tc>
          <w:tcPr>
            <w:tcW w:w="3540"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毕业生实践展示</w:t>
            </w:r>
            <w:r>
              <w:rPr>
                <w:rFonts w:hint="eastAsia" w:ascii="仿宋" w:hAnsi="仿宋" w:eastAsia="仿宋"/>
                <w:kern w:val="0"/>
                <w:szCs w:val="21"/>
                <w:lang w:eastAsia="zh-CN"/>
              </w:rPr>
              <w:t>、</w:t>
            </w:r>
            <w:r>
              <w:rPr>
                <w:rFonts w:hint="eastAsia" w:ascii="仿宋" w:hAnsi="仿宋" w:eastAsia="仿宋"/>
                <w:kern w:val="0"/>
                <w:szCs w:val="21"/>
              </w:rPr>
              <w:t>论文及答辩材料</w:t>
            </w:r>
            <w:r>
              <w:rPr>
                <w:rFonts w:hint="eastAsia" w:ascii="仿宋" w:hAnsi="仿宋" w:eastAsia="仿宋"/>
                <w:kern w:val="0"/>
                <w:szCs w:val="21"/>
                <w:lang w:val="en-US" w:eastAsia="zh-CN"/>
              </w:rPr>
              <w:t>不</w:t>
            </w:r>
            <w:r>
              <w:rPr>
                <w:rFonts w:hint="eastAsia" w:ascii="仿宋" w:hAnsi="仿宋" w:eastAsia="仿宋"/>
                <w:kern w:val="0"/>
                <w:szCs w:val="21"/>
              </w:rPr>
              <w:t>齐全</w:t>
            </w:r>
          </w:p>
        </w:tc>
        <w:tc>
          <w:tcPr>
            <w:tcW w:w="2568"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kern w:val="0"/>
                <w:szCs w:val="21"/>
              </w:rPr>
            </w:pPr>
            <w:r>
              <w:rPr>
                <w:rFonts w:hint="eastAsia" w:ascii="仿宋" w:hAnsi="仿宋" w:eastAsia="仿宋"/>
                <w:kern w:val="0"/>
                <w:szCs w:val="21"/>
              </w:rPr>
              <w:t>学校提供的有关材料</w:t>
            </w:r>
          </w:p>
        </w:tc>
      </w:tr>
    </w:tbl>
    <w:p>
      <w:pPr>
        <w:widowControl/>
        <w:rPr>
          <w:rFonts w:hint="eastAsia" w:ascii="仿宋" w:hAnsi="仿宋" w:eastAsia="仿宋"/>
          <w:kern w:val="0"/>
          <w:szCs w:val="21"/>
        </w:rPr>
      </w:pPr>
      <w:r>
        <w:rPr>
          <w:rFonts w:hint="eastAsia" w:ascii="仿宋" w:hAnsi="仿宋" w:eastAsia="仿宋"/>
          <w:kern w:val="0"/>
          <w:szCs w:val="21"/>
        </w:rPr>
        <w:t>说明</w:t>
      </w:r>
      <w:r>
        <w:rPr>
          <w:rFonts w:hint="eastAsia" w:ascii="仿宋" w:hAnsi="仿宋" w:eastAsia="仿宋"/>
          <w:kern w:val="0"/>
          <w:szCs w:val="21"/>
          <w:lang w:eastAsia="zh-CN"/>
        </w:rPr>
        <w:t>：</w:t>
      </w:r>
      <w:r>
        <w:rPr>
          <w:rFonts w:hint="eastAsia" w:ascii="仿宋" w:hAnsi="仿宋" w:eastAsia="仿宋"/>
          <w:kern w:val="0"/>
          <w:szCs w:val="21"/>
          <w:lang w:val="en-US" w:eastAsia="zh-CN"/>
        </w:rPr>
        <w:t>1、</w:t>
      </w:r>
      <w:r>
        <w:rPr>
          <w:rFonts w:hint="eastAsia" w:ascii="仿宋" w:hAnsi="仿宋" w:eastAsia="仿宋"/>
          <w:kern w:val="0"/>
          <w:szCs w:val="21"/>
        </w:rPr>
        <w:t>评估指标体系</w:t>
      </w:r>
      <w:r>
        <w:rPr>
          <w:rFonts w:hint="eastAsia" w:ascii="仿宋" w:hAnsi="仿宋" w:eastAsia="仿宋"/>
          <w:kern w:val="0"/>
          <w:szCs w:val="21"/>
          <w:lang w:val="en-US" w:eastAsia="zh-CN"/>
        </w:rPr>
        <w:t>设3</w:t>
      </w:r>
      <w:r>
        <w:rPr>
          <w:rFonts w:hint="eastAsia" w:ascii="仿宋" w:hAnsi="仿宋" w:eastAsia="仿宋"/>
          <w:kern w:val="0"/>
          <w:szCs w:val="21"/>
        </w:rPr>
        <w:t>个一级指标，</w:t>
      </w:r>
      <w:r>
        <w:rPr>
          <w:rFonts w:hint="eastAsia" w:ascii="仿宋" w:hAnsi="仿宋" w:eastAsia="仿宋"/>
          <w:kern w:val="0"/>
          <w:szCs w:val="21"/>
          <w:lang w:val="en-US" w:eastAsia="zh-CN"/>
        </w:rPr>
        <w:t>9</w:t>
      </w:r>
      <w:r>
        <w:rPr>
          <w:rFonts w:hint="eastAsia" w:ascii="仿宋" w:hAnsi="仿宋" w:eastAsia="仿宋"/>
          <w:kern w:val="0"/>
          <w:szCs w:val="21"/>
        </w:rPr>
        <w:t>个二级指标</w:t>
      </w:r>
      <w:r>
        <w:rPr>
          <w:rFonts w:hint="eastAsia" w:ascii="仿宋" w:hAnsi="仿宋" w:eastAsia="仿宋"/>
          <w:kern w:val="0"/>
          <w:szCs w:val="21"/>
          <w:lang w:eastAsia="zh-CN"/>
        </w:rPr>
        <w:t>，</w:t>
      </w:r>
      <w:r>
        <w:rPr>
          <w:rFonts w:hint="eastAsia" w:ascii="仿宋" w:hAnsi="仿宋" w:eastAsia="仿宋"/>
          <w:kern w:val="0"/>
          <w:szCs w:val="21"/>
        </w:rPr>
        <w:t>20个三级指标</w:t>
      </w:r>
      <w:r>
        <w:rPr>
          <w:rFonts w:hint="eastAsia" w:ascii="仿宋" w:hAnsi="仿宋" w:eastAsia="仿宋"/>
          <w:kern w:val="0"/>
          <w:szCs w:val="21"/>
          <w:lang w:eastAsia="zh-CN"/>
        </w:rPr>
        <w:t>（</w:t>
      </w:r>
      <w:r>
        <w:rPr>
          <w:rFonts w:hint="eastAsia" w:ascii="仿宋" w:hAnsi="仿宋" w:eastAsia="仿宋"/>
          <w:kern w:val="0"/>
          <w:szCs w:val="21"/>
        </w:rPr>
        <w:t>其中</w:t>
      </w:r>
      <w:r>
        <w:rPr>
          <w:rFonts w:hint="eastAsia" w:ascii="仿宋" w:hAnsi="仿宋" w:eastAsia="仿宋"/>
          <w:kern w:val="0"/>
          <w:szCs w:val="21"/>
          <w:lang w:val="en-US" w:eastAsia="zh-CN"/>
        </w:rPr>
        <w:t>加粗黑体的</w:t>
      </w:r>
      <w:r>
        <w:rPr>
          <w:rFonts w:hint="eastAsia" w:ascii="仿宋" w:hAnsi="仿宋" w:eastAsia="仿宋"/>
          <w:kern w:val="0"/>
          <w:szCs w:val="21"/>
        </w:rPr>
        <w:t>为核心指标</w:t>
      </w:r>
      <w:r>
        <w:rPr>
          <w:rFonts w:hint="eastAsia" w:ascii="仿宋" w:hAnsi="仿宋" w:eastAsia="仿宋"/>
          <w:kern w:val="0"/>
          <w:szCs w:val="21"/>
          <w:lang w:eastAsia="zh-CN"/>
        </w:rPr>
        <w:t>）。</w:t>
      </w:r>
      <w:r>
        <w:rPr>
          <w:rFonts w:hint="eastAsia" w:ascii="仿宋" w:hAnsi="仿宋" w:eastAsia="仿宋"/>
          <w:kern w:val="0"/>
          <w:szCs w:val="21"/>
        </w:rPr>
        <w:t>通过全部核心指标，并总体通过</w:t>
      </w:r>
      <w:r>
        <w:rPr>
          <w:rFonts w:hint="eastAsia" w:ascii="仿宋" w:hAnsi="仿宋" w:eastAsia="仿宋"/>
          <w:kern w:val="0"/>
          <w:szCs w:val="21"/>
          <w:lang w:val="en-US" w:eastAsia="zh-CN"/>
        </w:rPr>
        <w:t>15个</w:t>
      </w:r>
      <w:r>
        <w:rPr>
          <w:rFonts w:hint="eastAsia" w:ascii="仿宋" w:hAnsi="仿宋" w:eastAsia="仿宋"/>
          <w:kern w:val="0"/>
          <w:szCs w:val="21"/>
        </w:rPr>
        <w:t>以上</w:t>
      </w:r>
      <w:r>
        <w:rPr>
          <w:rFonts w:hint="eastAsia" w:ascii="仿宋" w:hAnsi="仿宋" w:eastAsia="仿宋"/>
          <w:kern w:val="0"/>
          <w:szCs w:val="21"/>
          <w:lang w:eastAsia="zh-CN"/>
        </w:rPr>
        <w:t>（</w:t>
      </w:r>
      <w:r>
        <w:rPr>
          <w:rFonts w:hint="eastAsia" w:ascii="仿宋" w:hAnsi="仿宋" w:eastAsia="仿宋"/>
          <w:kern w:val="0"/>
          <w:szCs w:val="21"/>
        </w:rPr>
        <w:t>包括15个</w:t>
      </w:r>
      <w:r>
        <w:rPr>
          <w:rFonts w:hint="eastAsia" w:ascii="仿宋" w:hAnsi="仿宋" w:eastAsia="仿宋"/>
          <w:kern w:val="0"/>
          <w:szCs w:val="21"/>
          <w:lang w:eastAsia="zh-CN"/>
        </w:rPr>
        <w:t>）</w:t>
      </w:r>
      <w:r>
        <w:rPr>
          <w:rFonts w:hint="eastAsia" w:ascii="仿宋" w:hAnsi="仿宋" w:eastAsia="仿宋"/>
          <w:kern w:val="0"/>
          <w:szCs w:val="21"/>
        </w:rPr>
        <w:t>三级指标的授权点为合格</w:t>
      </w:r>
      <w:r>
        <w:rPr>
          <w:rFonts w:hint="eastAsia" w:ascii="仿宋" w:hAnsi="仿宋" w:eastAsia="仿宋"/>
          <w:kern w:val="0"/>
          <w:szCs w:val="21"/>
          <w:lang w:eastAsia="zh-CN"/>
        </w:rPr>
        <w:t>。</w:t>
      </w:r>
    </w:p>
    <w:p>
      <w:pPr>
        <w:widowControl/>
        <w:rPr>
          <w:rFonts w:hint="eastAsia" w:ascii="仿宋" w:hAnsi="仿宋" w:eastAsia="仿宋"/>
          <w:kern w:val="0"/>
          <w:szCs w:val="21"/>
        </w:rPr>
      </w:pPr>
      <w:r>
        <w:rPr>
          <w:rFonts w:hint="eastAsia" w:ascii="仿宋" w:hAnsi="仿宋" w:eastAsia="仿宋"/>
          <w:kern w:val="0"/>
          <w:szCs w:val="21"/>
          <w:lang w:val="en-US" w:eastAsia="zh-CN"/>
        </w:rPr>
        <w:t>2、</w:t>
      </w:r>
      <w:r>
        <w:rPr>
          <w:rFonts w:hint="eastAsia" w:ascii="仿宋" w:hAnsi="仿宋" w:eastAsia="仿宋"/>
          <w:kern w:val="0"/>
          <w:szCs w:val="21"/>
        </w:rPr>
        <w:t>根据通知文件精神，对评估工作中存在弄虚作假和违反评估纪律的授权</w:t>
      </w:r>
      <w:r>
        <w:rPr>
          <w:rFonts w:hint="eastAsia" w:ascii="仿宋" w:hAnsi="仿宋" w:eastAsia="仿宋"/>
          <w:kern w:val="0"/>
          <w:szCs w:val="21"/>
          <w:lang w:val="en-US" w:eastAsia="zh-CN"/>
        </w:rPr>
        <w:t>点</w:t>
      </w:r>
      <w:r>
        <w:rPr>
          <w:rFonts w:hint="eastAsia" w:ascii="仿宋" w:hAnsi="仿宋" w:eastAsia="仿宋"/>
          <w:kern w:val="0"/>
          <w:szCs w:val="21"/>
        </w:rPr>
        <w:t>或者个人，将按照有关规定严肃处理，学位授予点要保证自我评估材料的真实性，对公开材料存在弄虚作假的学位授权点，将直接表决其为不合格</w:t>
      </w:r>
      <w:r>
        <w:rPr>
          <w:rFonts w:hint="eastAsia" w:ascii="仿宋" w:hAnsi="仿宋" w:eastAsia="仿宋"/>
          <w:kern w:val="0"/>
          <w:szCs w:val="21"/>
          <w:lang w:eastAsia="zh-CN"/>
        </w:rPr>
        <w:t>。</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7D6AD8"/>
    <w:rsid w:val="0D8017C7"/>
    <w:rsid w:val="1D7D6A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2017-10-26T04:14:00Z</dcterms:created>
  <dc:creator>Lei</dc:creator>
  <cp:lastModifiedBy>Lei</cp:lastModifiedBy>
  <dcterms:modified xsi:type="dcterms:W3CDTF">2017-10-26T06:07:46Z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