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法律</w:t>
      </w:r>
      <w:bookmarkStart w:id="0" w:name="_GoBack"/>
      <w:bookmarkEnd w:id="0"/>
      <w:r>
        <w:rPr>
          <w:rFonts w:hint="eastAsia" w:ascii="仿宋_GB2312" w:eastAsia="仿宋_GB2312"/>
          <w:b/>
          <w:sz w:val="30"/>
          <w:szCs w:val="30"/>
        </w:rPr>
        <w:t>硕士专业学位授权点专项评估指标</w:t>
      </w:r>
    </w:p>
    <w:p>
      <w:pPr>
        <w:jc w:val="center"/>
        <w:rPr>
          <w:rFonts w:eastAsia="黑体"/>
          <w:szCs w:val="21"/>
        </w:rPr>
      </w:pP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929"/>
        <w:gridCol w:w="1800"/>
        <w:gridCol w:w="3240"/>
        <w:gridCol w:w="540"/>
        <w:gridCol w:w="708"/>
        <w:gridCol w:w="722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一级指标名称</w:t>
            </w:r>
          </w:p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（总分值）</w:t>
            </w:r>
          </w:p>
        </w:tc>
        <w:tc>
          <w:tcPr>
            <w:tcW w:w="92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二级指标名称（分值）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评估指标主要测评点</w:t>
            </w:r>
          </w:p>
        </w:tc>
        <w:tc>
          <w:tcPr>
            <w:tcW w:w="3780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本测评点的具体表现</w:t>
            </w:r>
          </w:p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及相应得分</w:t>
            </w:r>
            <w:r>
              <w:rPr>
                <w:rFonts w:eastAsia="仿宋_GB2312"/>
                <w:bCs/>
                <w:color w:val="000000"/>
                <w:sz w:val="18"/>
                <w:szCs w:val="18"/>
              </w:rPr>
              <w:t>标准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相应实测分值</w:t>
            </w:r>
          </w:p>
        </w:tc>
        <w:tc>
          <w:tcPr>
            <w:tcW w:w="73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汇总分及总得分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799" w:type="dxa"/>
            <w:vMerge w:val="continue"/>
            <w:vAlign w:val="top"/>
          </w:tcPr>
          <w:p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3780" w:type="dxa"/>
            <w:gridSpan w:val="2"/>
            <w:vMerge w:val="continue"/>
            <w:vAlign w:val="top"/>
          </w:tcPr>
          <w:p>
            <w:pPr>
              <w:jc w:val="right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7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Cs/>
                <w:w w:val="80"/>
                <w:sz w:val="18"/>
                <w:szCs w:val="18"/>
              </w:rPr>
            </w:pPr>
            <w:r>
              <w:rPr>
                <w:rFonts w:eastAsia="仿宋_GB2312"/>
                <w:bCs/>
                <w:w w:val="80"/>
                <w:sz w:val="18"/>
                <w:szCs w:val="18"/>
              </w:rPr>
              <w:t>本测评点得分</w:t>
            </w:r>
          </w:p>
        </w:tc>
        <w:tc>
          <w:tcPr>
            <w:tcW w:w="72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Cs/>
                <w:w w:val="80"/>
                <w:sz w:val="18"/>
                <w:szCs w:val="18"/>
              </w:rPr>
            </w:pPr>
            <w:r>
              <w:rPr>
                <w:rFonts w:eastAsia="仿宋_GB2312"/>
                <w:bCs/>
                <w:w w:val="80"/>
                <w:sz w:val="18"/>
                <w:szCs w:val="18"/>
              </w:rPr>
              <w:t>二级指标得分</w:t>
            </w:r>
          </w:p>
        </w:tc>
        <w:tc>
          <w:tcPr>
            <w:tcW w:w="730" w:type="dxa"/>
            <w:vMerge w:val="continue"/>
            <w:vAlign w:val="top"/>
          </w:tcPr>
          <w:p>
            <w:pPr>
              <w:rPr>
                <w:rFonts w:eastAsia="仿宋_GB2312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gridSpan w:val="2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730" w:type="dxa"/>
            <w:vMerge w:val="continue"/>
            <w:vAlign w:val="top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restart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bCs/>
                <w:sz w:val="18"/>
                <w:szCs w:val="18"/>
              </w:rPr>
              <w:t>1.</w:t>
            </w:r>
            <w:r>
              <w:rPr>
                <w:rFonts w:eastAsia="仿宋_GB2312"/>
                <w:b/>
                <w:bCs/>
                <w:sz w:val="18"/>
                <w:szCs w:val="18"/>
              </w:rPr>
              <w:t>师资队伍</w:t>
            </w:r>
            <w:r>
              <w:rPr>
                <w:rFonts w:eastAsia="仿宋_GB2312"/>
                <w:sz w:val="18"/>
                <w:szCs w:val="18"/>
              </w:rPr>
              <w:t>（40分）</w:t>
            </w: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1.1专任教师数量变化及职称与学位结构优化（10分）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1.1.1承担法科8门必修课与5门推荐选修课专任教师总数变化（5分）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bCs/>
                <w:color w:val="000000"/>
                <w:sz w:val="18"/>
                <w:szCs w:val="18"/>
              </w:rPr>
              <w:t>仍为申报时23~26人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rPr>
                <w:rFonts w:eastAsia="仿宋_GB2312"/>
                <w:color w:val="000000"/>
                <w:sz w:val="15"/>
                <w:szCs w:val="15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27-30人（</w:t>
            </w:r>
            <w:r>
              <w:rPr>
                <w:rFonts w:eastAsia="仿宋_GB2312"/>
                <w:i/>
                <w:color w:val="000000"/>
                <w:sz w:val="18"/>
                <w:szCs w:val="18"/>
              </w:rPr>
              <w:t>每3门增1人</w:t>
            </w:r>
            <w:r>
              <w:rPr>
                <w:rFonts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29-32人（</w:t>
            </w:r>
            <w:r>
              <w:rPr>
                <w:rFonts w:eastAsia="仿宋_GB2312"/>
                <w:i/>
                <w:color w:val="000000"/>
                <w:sz w:val="18"/>
                <w:szCs w:val="18"/>
              </w:rPr>
              <w:t>每2门增1人</w:t>
            </w:r>
            <w:r>
              <w:rPr>
                <w:rFonts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1.1.2法科8门必修课专任教授，或法科8门必修课与5门推荐选修课专任副教授或拥有博士学位的教师，人数增加与结构优化（5分）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仍为申报数6或13（</w:t>
            </w:r>
            <w:r>
              <w:rPr>
                <w:rFonts w:eastAsia="仿宋_GB2312"/>
                <w:i/>
                <w:color w:val="000000"/>
                <w:sz w:val="18"/>
                <w:szCs w:val="18"/>
              </w:rPr>
              <w:t>分别占比40%或50%</w:t>
            </w:r>
            <w:r>
              <w:rPr>
                <w:rFonts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多于8或16（</w:t>
            </w:r>
            <w:r>
              <w:rPr>
                <w:rFonts w:eastAsia="仿宋_GB2312"/>
                <w:i/>
                <w:color w:val="000000"/>
                <w:sz w:val="18"/>
                <w:szCs w:val="18"/>
              </w:rPr>
              <w:t>分别占比50%或60%</w:t>
            </w:r>
            <w:r>
              <w:rPr>
                <w:rFonts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799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多于10或18及以上（</w:t>
            </w:r>
            <w:r>
              <w:rPr>
                <w:rFonts w:eastAsia="仿宋_GB2312"/>
                <w:i/>
                <w:color w:val="000000"/>
                <w:sz w:val="18"/>
                <w:szCs w:val="18"/>
              </w:rPr>
              <w:t>分别占比60%或70%及以上</w:t>
            </w:r>
            <w:r>
              <w:rPr>
                <w:rFonts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>
            <w:pPr>
              <w:ind w:right="360" w:firstLine="180" w:firstLineChars="100"/>
              <w:jc w:val="right"/>
              <w:rPr>
                <w:rFonts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bCs/>
                <w:color w:val="000000"/>
                <w:sz w:val="18"/>
                <w:szCs w:val="18"/>
              </w:rPr>
              <w:t>1.2专任</w:t>
            </w:r>
            <w:r>
              <w:rPr>
                <w:rFonts w:eastAsia="仿宋_GB2312"/>
                <w:color w:val="000000"/>
                <w:sz w:val="18"/>
                <w:szCs w:val="18"/>
              </w:rPr>
              <w:t>教师法律实践情况（10分）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1.2.1专</w:t>
            </w:r>
            <w:r>
              <w:rPr>
                <w:rFonts w:eastAsia="仿宋_GB2312"/>
                <w:b/>
                <w:bCs/>
                <w:color w:val="000000"/>
                <w:sz w:val="18"/>
                <w:szCs w:val="18"/>
              </w:rPr>
              <w:t>任</w:t>
            </w:r>
            <w:r>
              <w:rPr>
                <w:rFonts w:eastAsia="仿宋_GB2312"/>
                <w:b/>
                <w:color w:val="000000"/>
                <w:sz w:val="18"/>
                <w:szCs w:val="18"/>
              </w:rPr>
              <w:t>教师具有法律实践经验人数占比变化（5分）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80%-85%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86%-92%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93%-100%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1.2.2专任教师曾在司法等行业部门挂职情况（5分）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2人次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3-4人次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5人次以上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1.3专任教师上岗前培训情况（10分）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1.3.1专任教师观摩法硕课堂教学、研讨法硕教育情况（5分）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开展一些培训活动，成效一般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开展一定的培训活动，取得一定成效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开展多种形式培训活动，取得较好成效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1.3.2专任教师从事法律诊所教育、案例编写及案例教学情况（5分）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极少人从事了或参与过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FF00FF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少数人从事了或参与过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FF00FF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部分人从事过或参与过</w:t>
            </w:r>
          </w:p>
        </w:tc>
        <w:tc>
          <w:tcPr>
            <w:tcW w:w="540" w:type="dxa"/>
            <w:vAlign w:val="center"/>
          </w:tcPr>
          <w:p>
            <w:pPr>
              <w:wordWrap w:val="0"/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1.4兼职教师作用发挥情况（10分）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1.4.1司法等行业部门的兼职教师作讲座、报告、辅导及其他参与教学情况（5分）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极少能参与教学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少数能参与教学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多数能参与教学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1.4.2司法等行业部门的兼职教师参与指导学生日常学习、实习与论文写作、答辩情况（5分）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极少能参与指导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少数能参与指导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多数能参与指导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eastAsia="仿宋_GB2312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</w:trPr>
        <w:tc>
          <w:tcPr>
            <w:tcW w:w="799" w:type="dxa"/>
            <w:vMerge w:val="restart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2.人才培养（40 分）</w:t>
            </w: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2.1招生选拔</w:t>
            </w:r>
            <w:r>
              <w:rPr>
                <w:rFonts w:eastAsia="仿宋_GB2312"/>
                <w:sz w:val="18"/>
                <w:szCs w:val="18"/>
              </w:rPr>
              <w:t>（7分）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2.1.1招生计划完成情况</w:t>
            </w:r>
            <w:r>
              <w:rPr>
                <w:rFonts w:eastAsia="仿宋_GB2312"/>
                <w:sz w:val="18"/>
                <w:szCs w:val="18"/>
              </w:rPr>
              <w:t>（4分）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完成计划≥50%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完成计划≥70%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完成全部计划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2.1.2生源结构及质量</w:t>
            </w:r>
            <w:r>
              <w:rPr>
                <w:rFonts w:eastAsia="仿宋_GB2312"/>
                <w:sz w:val="18"/>
                <w:szCs w:val="18"/>
              </w:rPr>
              <w:t>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地域性生源，选择余地小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地域性生源，选择余地较大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全国性生源，选择余地大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2.2培养方案</w:t>
            </w:r>
            <w:r>
              <w:rPr>
                <w:rFonts w:eastAsia="仿宋_GB2312"/>
                <w:sz w:val="18"/>
                <w:szCs w:val="18"/>
              </w:rPr>
              <w:t>（7分）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2.2.1培养目标定位</w:t>
            </w:r>
            <w:r>
              <w:rPr>
                <w:rFonts w:eastAsia="仿宋_GB2312"/>
                <w:sz w:val="18"/>
                <w:szCs w:val="18"/>
              </w:rPr>
              <w:t>（4分）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基本反映国家、区域或行业需求，落实一般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FF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能反映国家、区域或行业需求，能较好落实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符合国家、区域或行业需求，对接落实好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2.2.2特色与创新</w:t>
            </w:r>
            <w:r>
              <w:rPr>
                <w:rFonts w:eastAsia="仿宋_GB2312"/>
                <w:sz w:val="18"/>
                <w:szCs w:val="18"/>
              </w:rPr>
              <w:t>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具体培养方案基本符合本校学科优势，无特色方向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3"/>
                <w:szCs w:val="13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具体培养方案符合本校学科优势，具备一定特色方向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具体培养方案发挥本校学科优势，特色方向明确，有创新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2.3课程教学</w:t>
            </w:r>
            <w:r>
              <w:rPr>
                <w:rFonts w:eastAsia="仿宋_GB2312"/>
                <w:sz w:val="18"/>
                <w:szCs w:val="18"/>
              </w:rPr>
              <w:t>（10分）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2.3.1法科必修课、选修课（含推荐及自主设置）体现高层次、实践性要求（3分）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有所体现和反映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体现和反映较充分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体现和反映很充分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2.3.2法科必修课、选修课（含推荐及自主设置）体现职业能力养成要求（3分）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提示少、灌输少、体现少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较多提示、灌输、体现较多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提示多、灌输多、体现多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2.3.3</w:t>
            </w:r>
            <w:r>
              <w:rPr>
                <w:rFonts w:eastAsia="仿宋_GB2312"/>
                <w:b/>
                <w:color w:val="000000"/>
                <w:sz w:val="18"/>
                <w:szCs w:val="18"/>
              </w:rPr>
              <w:t>采用多媒体课件辅助教学的法科必修课门数（4分）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4门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5-6门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7门以上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2.4实践教学</w:t>
            </w:r>
            <w:r>
              <w:rPr>
                <w:rFonts w:eastAsia="仿宋_GB2312"/>
                <w:sz w:val="18"/>
                <w:szCs w:val="18"/>
              </w:rPr>
              <w:t>（10分）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2.4.1</w:t>
            </w:r>
            <w:r>
              <w:rPr>
                <w:rFonts w:eastAsia="仿宋_GB2312"/>
                <w:sz w:val="18"/>
                <w:szCs w:val="18"/>
              </w:rPr>
              <w:t>实务训练课门数</w:t>
            </w:r>
            <w:r>
              <w:rPr>
                <w:rFonts w:eastAsia="仿宋_GB2312"/>
                <w:color w:val="000000"/>
                <w:sz w:val="18"/>
                <w:szCs w:val="18"/>
              </w:rPr>
              <w:t>与</w:t>
            </w:r>
            <w:r>
              <w:rPr>
                <w:rFonts w:eastAsia="仿宋_GB2312"/>
                <w:sz w:val="18"/>
                <w:szCs w:val="18"/>
              </w:rPr>
              <w:t>分类细化程度</w:t>
            </w:r>
            <w:r>
              <w:rPr>
                <w:rFonts w:eastAsia="仿宋_GB2312"/>
                <w:bCs/>
                <w:sz w:val="18"/>
                <w:szCs w:val="18"/>
              </w:rPr>
              <w:t>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门数不多，分类不细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FF00FF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FF00FF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有一定门数，分类较细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门数多，分类细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2.4.2模拟法庭等训练（4分）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活动不多，利用率不高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活动安排较多，利用率较高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活动安排多，利用率高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sz w:val="18"/>
                <w:szCs w:val="18"/>
              </w:rPr>
              <w:t>2.4.3</w:t>
            </w:r>
            <w:r>
              <w:rPr>
                <w:rFonts w:eastAsia="仿宋_GB2312"/>
                <w:b/>
                <w:color w:val="000000"/>
                <w:sz w:val="18"/>
                <w:szCs w:val="18"/>
              </w:rPr>
              <w:t>与区域（行业）部门合作建设实习基地使用</w:t>
            </w:r>
            <w:r>
              <w:rPr>
                <w:rFonts w:eastAsia="仿宋_GB2312"/>
                <w:b/>
                <w:bCs/>
                <w:sz w:val="18"/>
                <w:szCs w:val="18"/>
              </w:rPr>
              <w:t>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实习时间不足，合作一般，效果一般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5"/>
                <w:szCs w:val="15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实习时间充足，合作密切，效果较好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实习时间充足，合作密切，效果好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2.5学位授予</w:t>
            </w:r>
            <w:r>
              <w:rPr>
                <w:rFonts w:eastAsia="仿宋_GB2312"/>
                <w:sz w:val="18"/>
                <w:szCs w:val="18"/>
              </w:rPr>
              <w:t>（6分）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2.5.1学位论文标准与质量（3分）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实践性不突出，学术性论文多，实务写作训练少，论文质量一般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3"/>
                <w:szCs w:val="13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实践性较突出，论文形式较多，实务写作训练较多，论文质量较高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实践性突出，论文形式多样，实务写作训练多，论文质量高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2.5.2论文指导、评阅及答辩（3分）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基本实行双导师指导、双盲评阅，答辩宽松，效果一般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实行双导师指导、双盲评阅，答辩较严格，效果较好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严格实行双导师指导、双盲评阅，答辩严格，效果好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</w:trPr>
        <w:tc>
          <w:tcPr>
            <w:tcW w:w="799" w:type="dxa"/>
            <w:vMerge w:val="restart"/>
            <w:vAlign w:val="center"/>
          </w:tcPr>
          <w:p>
            <w:pPr>
              <w:spacing w:before="240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3.质量保障（20分）</w:t>
            </w: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3.1制度建设</w:t>
            </w:r>
            <w:r>
              <w:rPr>
                <w:rFonts w:eastAsia="仿宋_GB2312"/>
                <w:sz w:val="18"/>
                <w:szCs w:val="18"/>
              </w:rPr>
              <w:t>（5分）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3.1.1</w:t>
            </w:r>
            <w:r>
              <w:rPr>
                <w:rFonts w:eastAsia="仿宋_GB2312"/>
                <w:sz w:val="18"/>
                <w:szCs w:val="18"/>
              </w:rPr>
              <w:t>教育教学管理规章制度的制定及执行情况（5分）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有管理制度，实施情况一般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799" w:type="dxa"/>
            <w:vMerge w:val="continue"/>
            <w:vAlign w:val="center"/>
          </w:tcPr>
          <w:p>
            <w:pPr>
              <w:spacing w:before="240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制度比较健全并汇编成册，实施情况较好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799" w:type="dxa"/>
            <w:vMerge w:val="continue"/>
            <w:vAlign w:val="center"/>
          </w:tcPr>
          <w:p>
            <w:pPr>
              <w:spacing w:before="240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制度健全并汇编成册，实施情况好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3.2过程管理</w:t>
            </w:r>
            <w:r>
              <w:rPr>
                <w:rFonts w:eastAsia="仿宋_GB2312"/>
                <w:sz w:val="18"/>
                <w:szCs w:val="18"/>
              </w:rPr>
              <w:t>（9分）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3.2.1</w:t>
            </w:r>
            <w:r>
              <w:rPr>
                <w:rFonts w:eastAsia="仿宋_GB2312"/>
                <w:sz w:val="18"/>
                <w:szCs w:val="18"/>
              </w:rPr>
              <w:t>课程教学管理（3分）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课程教学开、结、停、调串课管理不够规范，数字化程度低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课程教学开、结、停、调串课管理较规范，数字化程度较高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课程教学开、结、停、调串课管理规范，数字化程度高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3.2.2学位论文质量管理（</w:t>
            </w:r>
            <w:r>
              <w:rPr>
                <w:rFonts w:eastAsia="仿宋_GB2312"/>
                <w:sz w:val="18"/>
                <w:szCs w:val="18"/>
              </w:rPr>
              <w:t>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对导师指导过程记录不全，有开题、评审、答辩规则，效果一般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对导师指导过程记录较完整，开题、评审、答辩规则较全，效果较好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对教师指导过程记录完整，开题、评审、答辩规则全，效果好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3.2.3 学位与成绩管理（3</w:t>
            </w:r>
            <w:r>
              <w:rPr>
                <w:rFonts w:eastAsia="仿宋_GB2312"/>
                <w:sz w:val="18"/>
                <w:szCs w:val="18"/>
              </w:rPr>
              <w:t>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学位获得者的学位课程试卷不太齐全，数字化管理程度不高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学位获得者的学位课程试卷比较齐全，数字化管理程度较高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学位获得者的学位课程试卷齐全，数字化管理程度高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3.3学风教育</w:t>
            </w:r>
            <w:r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6</w:t>
            </w:r>
            <w:r>
              <w:rPr>
                <w:rFonts w:eastAsia="仿宋_GB2312"/>
                <w:sz w:val="18"/>
                <w:szCs w:val="18"/>
              </w:rPr>
              <w:t>分）</w:t>
            </w: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3.3.1科学道德与学术规范教育（3分）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有教育，效果一般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重视教育，效果较好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教育得法，效果好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3.3.2对学术不端行为处罚机制（3分）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有警示，无处罚，效果一般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有警示，有处罚，效果较好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799" w:type="dxa"/>
            <w:vMerge w:val="continue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29" w:type="dxa"/>
            <w:vMerge w:val="continue"/>
            <w:vAlign w:val="top"/>
          </w:tcPr>
          <w:p>
            <w:pPr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top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警示到位，处罚严厉，效果好</w:t>
            </w:r>
          </w:p>
        </w:tc>
        <w:tc>
          <w:tcPr>
            <w:tcW w:w="540" w:type="dxa"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799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结论（合格</w:t>
            </w:r>
            <w:r>
              <w:rPr>
                <w:sz w:val="18"/>
                <w:szCs w:val="18"/>
              </w:rPr>
              <w:t>∕</w:t>
            </w:r>
            <w:r>
              <w:rPr>
                <w:rFonts w:eastAsia="仿宋_GB2312"/>
                <w:sz w:val="18"/>
                <w:szCs w:val="18"/>
              </w:rPr>
              <w:t>不合格）及总评分</w:t>
            </w:r>
          </w:p>
        </w:tc>
        <w:tc>
          <w:tcPr>
            <w:tcW w:w="7939" w:type="dxa"/>
            <w:gridSpan w:val="6"/>
            <w:vAlign w:val="center"/>
          </w:tcPr>
          <w:p>
            <w:pPr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eastAsia="仿宋_GB2312"/>
                <w:sz w:val="18"/>
                <w:szCs w:val="18"/>
              </w:rPr>
            </w:pPr>
          </w:p>
        </w:tc>
      </w:tr>
    </w:tbl>
    <w:p/>
    <w:p>
      <w:pPr>
        <w:jc w:val="center"/>
        <w:rPr>
          <w:rFonts w:hint="eastAsia"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三、对评估指标的解释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1．本方案设置3个一级指标，12个二级指标，</w:t>
      </w:r>
      <w:r>
        <w:rPr>
          <w:rFonts w:eastAsia="方正仿宋简体"/>
          <w:bCs/>
          <w:sz w:val="28"/>
          <w:szCs w:val="28"/>
        </w:rPr>
        <w:t>26</w:t>
      </w:r>
      <w:r>
        <w:rPr>
          <w:rFonts w:eastAsia="方正仿宋简体"/>
          <w:sz w:val="28"/>
          <w:szCs w:val="28"/>
        </w:rPr>
        <w:t>个</w:t>
      </w:r>
      <w:r>
        <w:rPr>
          <w:rFonts w:eastAsia="方正仿宋简体"/>
          <w:bCs/>
          <w:sz w:val="28"/>
          <w:szCs w:val="28"/>
        </w:rPr>
        <w:t>测评点。</w:t>
      </w:r>
      <w:r>
        <w:rPr>
          <w:rFonts w:eastAsia="方正仿宋简体"/>
          <w:sz w:val="28"/>
          <w:szCs w:val="28"/>
        </w:rPr>
        <w:t>采取百分制，测评点分值分别为2、3、4、5分；各测评点分值均按三个等级给分，分别权重为50%、75%、100%（如测评点为4分的，分别为2分、3分、4分）；总分达到75分及以上，且8个重点指标（表格中加黑者）必须达到二级分数以上，方为合格；总分小于75分，且任一重点指标未达到二级分数以上，即为不合格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color w:val="000000"/>
          <w:sz w:val="28"/>
          <w:szCs w:val="28"/>
        </w:rPr>
      </w:pPr>
      <w:r>
        <w:rPr>
          <w:rFonts w:eastAsia="方正仿宋简体"/>
          <w:bCs/>
          <w:sz w:val="28"/>
          <w:szCs w:val="28"/>
        </w:rPr>
        <w:t>2. “</w:t>
      </w:r>
      <w:r>
        <w:rPr>
          <w:rFonts w:eastAsia="方正仿宋简体"/>
          <w:sz w:val="28"/>
          <w:szCs w:val="28"/>
        </w:rPr>
        <w:t>8</w:t>
      </w:r>
      <w:r>
        <w:rPr>
          <w:rFonts w:eastAsia="方正仿宋简体"/>
          <w:color w:val="000000"/>
          <w:sz w:val="28"/>
          <w:szCs w:val="28"/>
        </w:rPr>
        <w:t>门</w:t>
      </w:r>
      <w:r>
        <w:rPr>
          <w:rFonts w:eastAsia="方正仿宋简体"/>
          <w:sz w:val="28"/>
          <w:szCs w:val="28"/>
        </w:rPr>
        <w:t>法科</w:t>
      </w:r>
      <w:r>
        <w:rPr>
          <w:rFonts w:eastAsia="方正仿宋简体"/>
          <w:color w:val="000000"/>
          <w:sz w:val="28"/>
          <w:szCs w:val="28"/>
        </w:rPr>
        <w:t>必修课”，指</w:t>
      </w:r>
      <w:r>
        <w:rPr>
          <w:rFonts w:eastAsia="方正仿宋简体"/>
          <w:color w:val="000000"/>
          <w:kern w:val="0"/>
          <w:sz w:val="28"/>
          <w:szCs w:val="28"/>
        </w:rPr>
        <w:t>(1)法理学、(2)中国法制史、(3)宪法、(4)民法学、(5)刑法学、(6)刑事诉讼法、(7)民事诉讼法、(8)行政法与行政诉讼法、(9)经济法、(10)国际法（20</w:t>
      </w:r>
      <w:r>
        <w:rPr>
          <w:rFonts w:eastAsia="方正仿宋简体"/>
          <w:kern w:val="0"/>
          <w:sz w:val="28"/>
          <w:szCs w:val="28"/>
        </w:rPr>
        <w:t>06年指导性培养方案10门和2009年评审办法中的任选其中8门）；“</w:t>
      </w:r>
      <w:r>
        <w:rPr>
          <w:rFonts w:eastAsia="方正仿宋简体"/>
          <w:sz w:val="28"/>
          <w:szCs w:val="28"/>
        </w:rPr>
        <w:t>5</w:t>
      </w:r>
      <w:r>
        <w:rPr>
          <w:rFonts w:eastAsia="方正仿宋简体"/>
          <w:color w:val="000000"/>
          <w:sz w:val="28"/>
          <w:szCs w:val="28"/>
        </w:rPr>
        <w:t>门推荐选修课”，指</w:t>
      </w:r>
      <w:r>
        <w:rPr>
          <w:rFonts w:eastAsia="方正仿宋简体"/>
          <w:color w:val="000000"/>
          <w:kern w:val="0"/>
          <w:sz w:val="28"/>
          <w:szCs w:val="28"/>
        </w:rPr>
        <w:t>(1)</w:t>
      </w:r>
      <w:r>
        <w:rPr>
          <w:rFonts w:eastAsia="方正仿宋简体"/>
          <w:color w:val="000000"/>
          <w:sz w:val="28"/>
          <w:szCs w:val="28"/>
        </w:rPr>
        <w:t>外国法律史、</w:t>
      </w:r>
      <w:r>
        <w:rPr>
          <w:rFonts w:eastAsia="方正仿宋简体"/>
          <w:color w:val="000000"/>
          <w:kern w:val="0"/>
          <w:sz w:val="28"/>
          <w:szCs w:val="28"/>
        </w:rPr>
        <w:t>(2)</w:t>
      </w:r>
      <w:r>
        <w:rPr>
          <w:rFonts w:eastAsia="方正仿宋简体"/>
          <w:color w:val="000000"/>
          <w:sz w:val="28"/>
          <w:szCs w:val="28"/>
        </w:rPr>
        <w:t>商法、</w:t>
      </w:r>
      <w:r>
        <w:rPr>
          <w:rFonts w:eastAsia="方正仿宋简体"/>
          <w:color w:val="000000"/>
          <w:kern w:val="0"/>
          <w:sz w:val="28"/>
          <w:szCs w:val="28"/>
        </w:rPr>
        <w:t>(3)</w:t>
      </w:r>
      <w:r>
        <w:rPr>
          <w:rFonts w:eastAsia="方正仿宋简体"/>
          <w:color w:val="000000"/>
          <w:sz w:val="28"/>
          <w:szCs w:val="28"/>
        </w:rPr>
        <w:t>国际经济法、</w:t>
      </w:r>
      <w:r>
        <w:rPr>
          <w:rFonts w:eastAsia="方正仿宋简体"/>
          <w:color w:val="000000"/>
          <w:kern w:val="0"/>
          <w:sz w:val="28"/>
          <w:szCs w:val="28"/>
        </w:rPr>
        <w:t>(4)</w:t>
      </w:r>
      <w:r>
        <w:rPr>
          <w:rFonts w:eastAsia="方正仿宋简体"/>
          <w:color w:val="000000"/>
          <w:sz w:val="28"/>
          <w:szCs w:val="28"/>
        </w:rPr>
        <w:t>国际私法、</w:t>
      </w:r>
      <w:r>
        <w:rPr>
          <w:rFonts w:eastAsia="方正仿宋简体"/>
          <w:color w:val="000000"/>
          <w:kern w:val="0"/>
          <w:sz w:val="28"/>
          <w:szCs w:val="28"/>
        </w:rPr>
        <w:t>(5)</w:t>
      </w:r>
      <w:r>
        <w:rPr>
          <w:rFonts w:eastAsia="方正仿宋简体"/>
          <w:color w:val="000000"/>
          <w:sz w:val="28"/>
          <w:szCs w:val="28"/>
        </w:rPr>
        <w:t>知识产权法、</w:t>
      </w:r>
      <w:r>
        <w:rPr>
          <w:rFonts w:eastAsia="方正仿宋简体"/>
          <w:color w:val="000000"/>
          <w:kern w:val="0"/>
          <w:sz w:val="28"/>
          <w:szCs w:val="28"/>
        </w:rPr>
        <w:t>(6)</w:t>
      </w:r>
      <w:r>
        <w:rPr>
          <w:rFonts w:eastAsia="方正仿宋简体"/>
          <w:color w:val="000000"/>
          <w:sz w:val="28"/>
          <w:szCs w:val="28"/>
        </w:rPr>
        <w:t>环境资源法、</w:t>
      </w:r>
      <w:r>
        <w:rPr>
          <w:rFonts w:eastAsia="方正仿宋简体"/>
          <w:color w:val="000000"/>
          <w:kern w:val="0"/>
          <w:sz w:val="28"/>
          <w:szCs w:val="28"/>
        </w:rPr>
        <w:t>(7)</w:t>
      </w:r>
      <w:r>
        <w:rPr>
          <w:rFonts w:eastAsia="方正仿宋简体"/>
          <w:color w:val="000000"/>
          <w:sz w:val="28"/>
          <w:szCs w:val="28"/>
        </w:rPr>
        <w:t>法律职业伦理、</w:t>
      </w:r>
      <w:r>
        <w:rPr>
          <w:rFonts w:eastAsia="方正仿宋简体"/>
          <w:color w:val="000000"/>
          <w:kern w:val="0"/>
          <w:sz w:val="28"/>
          <w:szCs w:val="28"/>
        </w:rPr>
        <w:t>(8)</w:t>
      </w:r>
      <w:r>
        <w:rPr>
          <w:rFonts w:eastAsia="方正仿宋简体"/>
          <w:color w:val="000000"/>
          <w:sz w:val="28"/>
          <w:szCs w:val="28"/>
        </w:rPr>
        <w:t>法律方法（</w:t>
      </w:r>
      <w:r>
        <w:rPr>
          <w:rFonts w:eastAsia="方正仿宋简体"/>
          <w:kern w:val="0"/>
          <w:sz w:val="28"/>
          <w:szCs w:val="28"/>
        </w:rPr>
        <w:t>同上，任选其中5门）。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bCs/>
          <w:sz w:val="28"/>
          <w:szCs w:val="28"/>
        </w:rPr>
        <w:t>3.“</w:t>
      </w:r>
      <w:r>
        <w:rPr>
          <w:rFonts w:eastAsia="方正仿宋简体"/>
          <w:color w:val="000000"/>
          <w:sz w:val="28"/>
          <w:szCs w:val="28"/>
        </w:rPr>
        <w:t>专</w:t>
      </w:r>
      <w:r>
        <w:rPr>
          <w:rFonts w:eastAsia="方正仿宋简体"/>
          <w:bCs/>
          <w:color w:val="000000"/>
          <w:sz w:val="28"/>
          <w:szCs w:val="28"/>
        </w:rPr>
        <w:t>任</w:t>
      </w:r>
      <w:r>
        <w:rPr>
          <w:rFonts w:eastAsia="方正仿宋简体"/>
          <w:color w:val="000000"/>
          <w:sz w:val="28"/>
          <w:szCs w:val="28"/>
        </w:rPr>
        <w:t>教师具有法律实践经验人数</w:t>
      </w:r>
      <w:r>
        <w:rPr>
          <w:rFonts w:eastAsia="方正仿宋简体"/>
          <w:sz w:val="28"/>
          <w:szCs w:val="28"/>
        </w:rPr>
        <w:t>”，指专</w:t>
      </w:r>
      <w:r>
        <w:rPr>
          <w:rFonts w:eastAsia="方正仿宋简体"/>
          <w:bCs/>
          <w:sz w:val="28"/>
          <w:szCs w:val="28"/>
        </w:rPr>
        <w:t>任</w:t>
      </w:r>
      <w:r>
        <w:rPr>
          <w:rFonts w:eastAsia="方正仿宋简体"/>
          <w:sz w:val="28"/>
          <w:szCs w:val="28"/>
        </w:rPr>
        <w:t>教师中兼职律师、仲裁员、人民陪审员、政府或司法行业部门特邀（咨询）专家等。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color w:val="000000"/>
          <w:sz w:val="28"/>
          <w:szCs w:val="28"/>
        </w:rPr>
        <w:t>4.“司法等行业部门的兼职教师”，不限于司法行业部门，还包括立法、行政执法等机构。</w:t>
      </w:r>
      <w:r>
        <w:rPr>
          <w:rFonts w:eastAsia="方正仿宋简体"/>
          <w:sz w:val="28"/>
          <w:szCs w:val="28"/>
        </w:rPr>
        <w:t>法律硕士专业学位的特定法律职业背景是</w:t>
      </w:r>
      <w:r>
        <w:rPr>
          <w:rFonts w:eastAsia="方正仿宋简体"/>
          <w:color w:val="000000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培养立法、司法、行政执法、法律服务以及国民经济各行业领域所需要的高层次的复合型、应用型法律人才”，故除法官、检察官外，立法、行政执法、法律服务及国民经济各行业领域的专家，如律师、公证员和企业法律顾问等法律职业者，都可以担任。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color w:val="000000"/>
          <w:sz w:val="28"/>
          <w:szCs w:val="28"/>
        </w:rPr>
        <w:t>5.“职业能力”，</w:t>
      </w:r>
      <w:r>
        <w:rPr>
          <w:rFonts w:eastAsia="方正仿宋简体"/>
          <w:kern w:val="0"/>
          <w:sz w:val="28"/>
          <w:szCs w:val="28"/>
        </w:rPr>
        <w:t>包括法律</w:t>
      </w:r>
      <w:r>
        <w:rPr>
          <w:rFonts w:eastAsia="方正仿宋简体"/>
          <w:color w:val="000000"/>
          <w:kern w:val="0"/>
          <w:sz w:val="28"/>
          <w:szCs w:val="28"/>
        </w:rPr>
        <w:t>知识、法律思维、法律语言、法律方法、执业技术等</w:t>
      </w:r>
      <w:r>
        <w:rPr>
          <w:rFonts w:eastAsia="方正仿宋简体"/>
          <w:kern w:val="0"/>
          <w:sz w:val="28"/>
          <w:szCs w:val="28"/>
        </w:rPr>
        <w:t>方面。具体内容是：（1）</w:t>
      </w:r>
      <w:r>
        <w:rPr>
          <w:rFonts w:eastAsia="方正仿宋简体"/>
          <w:color w:val="000000"/>
          <w:sz w:val="28"/>
          <w:szCs w:val="28"/>
        </w:rPr>
        <w:t>面对社会现象（包括各种事案），能够运用职业思维和法律原理来观察、分析、判断和解决；（2）较熟练地运用法律术语；（3）较全面地掌握基本的</w:t>
      </w:r>
      <w:r>
        <w:rPr>
          <w:rFonts w:eastAsia="方正仿宋简体"/>
          <w:sz w:val="28"/>
          <w:szCs w:val="28"/>
        </w:rPr>
        <w:t>法律知识</w:t>
      </w:r>
      <w:r>
        <w:rPr>
          <w:rFonts w:eastAsia="方正仿宋简体"/>
          <w:color w:val="000000"/>
          <w:sz w:val="28"/>
          <w:szCs w:val="28"/>
        </w:rPr>
        <w:t xml:space="preserve">；（4）较熟练地掌握和运用基本的法律解释方法，能够在个案中进行法律推理；（5）较熟练地把握各类诉讼程序，能够主持诉讼程序，进行调查与取证；（6）熟练地从事代理与辩护业务，从事非诉讼法律事务(如法律咨询、谈判、起草合同)以及法律事务的组织与管理；（7）有起草规范性法律文件的一般经验。 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6.</w:t>
      </w:r>
      <w:r>
        <w:rPr>
          <w:rFonts w:eastAsia="方正仿宋简体"/>
          <w:color w:val="000000"/>
          <w:sz w:val="28"/>
          <w:szCs w:val="28"/>
        </w:rPr>
        <w:t>“特色与创新”，指</w:t>
      </w:r>
      <w:r>
        <w:rPr>
          <w:rFonts w:eastAsia="方正仿宋简体"/>
          <w:sz w:val="28"/>
          <w:szCs w:val="28"/>
        </w:rPr>
        <w:t>各院校根据各自的条件和特点而自主设置的培养板块或方向课程组，如政府法务、司法法务、国际法务、金融法务、公司法务或企业法务等。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color w:val="000000"/>
          <w:kern w:val="0"/>
          <w:sz w:val="28"/>
          <w:szCs w:val="28"/>
        </w:rPr>
      </w:pPr>
      <w:r>
        <w:rPr>
          <w:rFonts w:eastAsia="方正仿宋简体"/>
          <w:sz w:val="28"/>
          <w:szCs w:val="28"/>
        </w:rPr>
        <w:t>7.“实务训练课”指</w:t>
      </w:r>
      <w:r>
        <w:rPr>
          <w:rFonts w:eastAsia="方正仿宋简体"/>
          <w:kern w:val="0"/>
          <w:sz w:val="28"/>
          <w:szCs w:val="28"/>
        </w:rPr>
        <w:t>案例研习课、</w:t>
      </w:r>
      <w:r>
        <w:rPr>
          <w:rFonts w:eastAsia="方正仿宋简体"/>
          <w:sz w:val="28"/>
          <w:szCs w:val="28"/>
        </w:rPr>
        <w:t>法律文书课</w:t>
      </w:r>
      <w:r>
        <w:rPr>
          <w:rFonts w:eastAsia="方正仿宋简体"/>
          <w:kern w:val="0"/>
          <w:sz w:val="28"/>
          <w:szCs w:val="28"/>
        </w:rPr>
        <w:t>与法律信息（文献）检索课、模拟法庭训练</w:t>
      </w:r>
      <w:r>
        <w:rPr>
          <w:rFonts w:eastAsia="方正仿宋简体"/>
          <w:sz w:val="28"/>
          <w:szCs w:val="28"/>
        </w:rPr>
        <w:t>及法律诊所、法律援助或法律谈判训练课等。法律文书制作训练包括</w:t>
      </w:r>
      <w:r>
        <w:rPr>
          <w:rFonts w:eastAsia="方正仿宋简体"/>
          <w:color w:val="000000"/>
          <w:kern w:val="0"/>
          <w:sz w:val="28"/>
          <w:szCs w:val="28"/>
        </w:rPr>
        <w:t>起诉书、答辩书、公诉书、判决书、仲裁申请书、裁定书等法庭、仲裁庭所用的</w:t>
      </w:r>
      <w:r>
        <w:rPr>
          <w:rFonts w:eastAsia="方正仿宋简体"/>
          <w:kern w:val="0"/>
          <w:sz w:val="28"/>
          <w:szCs w:val="28"/>
        </w:rPr>
        <w:t>诉讼文书、仲裁文书</w:t>
      </w:r>
      <w:r>
        <w:rPr>
          <w:rFonts w:eastAsia="方正仿宋简体"/>
          <w:color w:val="000000"/>
          <w:kern w:val="0"/>
          <w:sz w:val="28"/>
          <w:szCs w:val="28"/>
        </w:rPr>
        <w:t>写作，及合同、公司章程起草</w:t>
      </w:r>
      <w:r>
        <w:rPr>
          <w:rFonts w:eastAsia="方正仿宋简体"/>
          <w:kern w:val="0"/>
          <w:sz w:val="28"/>
          <w:szCs w:val="28"/>
        </w:rPr>
        <w:t>以及其他</w:t>
      </w:r>
      <w:r>
        <w:rPr>
          <w:rFonts w:eastAsia="方正仿宋简体"/>
          <w:color w:val="000000"/>
          <w:kern w:val="0"/>
          <w:sz w:val="28"/>
          <w:szCs w:val="28"/>
        </w:rPr>
        <w:t>非诉讼法律业务训练科目。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8.“</w:t>
      </w:r>
      <w:r>
        <w:rPr>
          <w:rFonts w:eastAsia="方正仿宋简体"/>
          <w:color w:val="000000"/>
          <w:sz w:val="28"/>
          <w:szCs w:val="28"/>
        </w:rPr>
        <w:t>学位论文标准与质量”，指强调论文实践性，即以法律实务研究为主要内容，但不限于学术论文的成果形式，鼓励学生撰写</w:t>
      </w:r>
      <w:r>
        <w:rPr>
          <w:rFonts w:eastAsia="方正仿宋简体"/>
          <w:kern w:val="0"/>
          <w:sz w:val="28"/>
          <w:szCs w:val="28"/>
        </w:rPr>
        <w:t>案例研究报告（即</w:t>
      </w:r>
      <w:r>
        <w:rPr>
          <w:rFonts w:eastAsia="方正仿宋简体"/>
          <w:color w:val="000000"/>
          <w:sz w:val="28"/>
          <w:szCs w:val="28"/>
        </w:rPr>
        <w:t>案例分析，针对同一主题的三个以上相关案件进行研究分析）、</w:t>
      </w:r>
      <w:r>
        <w:rPr>
          <w:rFonts w:eastAsia="方正仿宋简体"/>
          <w:kern w:val="0"/>
          <w:sz w:val="28"/>
          <w:szCs w:val="28"/>
        </w:rPr>
        <w:t>调研报告等。</w:t>
      </w:r>
    </w:p>
    <w:p>
      <w:pPr>
        <w:spacing w:line="56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color w:val="000000"/>
          <w:sz w:val="28"/>
          <w:szCs w:val="28"/>
        </w:rPr>
        <w:t>9.</w:t>
      </w:r>
      <w:r>
        <w:rPr>
          <w:rFonts w:eastAsia="方正仿宋简体"/>
          <w:sz w:val="28"/>
          <w:szCs w:val="28"/>
        </w:rPr>
        <w:t>“教育教学管理规章制度的制定及执行情况”，指</w:t>
      </w:r>
      <w:r>
        <w:rPr>
          <w:rFonts w:eastAsia="方正仿宋简体"/>
          <w:color w:val="000000"/>
          <w:kern w:val="0"/>
          <w:sz w:val="28"/>
          <w:szCs w:val="28"/>
        </w:rPr>
        <w:t>在</w:t>
      </w:r>
      <w:r>
        <w:rPr>
          <w:rFonts w:eastAsia="方正仿宋简体"/>
          <w:color w:val="000000"/>
          <w:sz w:val="28"/>
          <w:szCs w:val="28"/>
        </w:rPr>
        <w:t>学籍管理、教学管理、师资队伍、课程建设、教学组织、论文撰写和答辩安排等方面制度</w:t>
      </w:r>
      <w:r>
        <w:rPr>
          <w:rFonts w:eastAsia="方正仿宋简体"/>
          <w:sz w:val="28"/>
          <w:szCs w:val="28"/>
        </w:rPr>
        <w:t>的制定及执行情况。</w:t>
      </w:r>
    </w:p>
    <w:p>
      <w:r>
        <w:rPr>
          <w:rFonts w:eastAsia="方正仿宋简体"/>
          <w:sz w:val="28"/>
          <w:szCs w:val="2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03CBF"/>
    <w:rsid w:val="3C2C053F"/>
    <w:rsid w:val="45B03C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2017-10-26T03:20:00Z</dcterms:created>
  <dc:creator>Lei</dc:creator>
  <cp:lastModifiedBy>Lei</cp:lastModifiedBy>
  <dcterms:modified xsi:type="dcterms:W3CDTF">2017-10-26T03:26:22Z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